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0" w:lineRule="exact"/>
        <w:textAlignment w:val="auto"/>
        <w:rPr>
          <w:sz w:val="10"/>
          <w:szCs w:val="10"/>
          <w:lang w:eastAsia="zh-CN"/>
        </w:rPr>
      </w:pPr>
    </w:p>
    <w:tbl>
      <w:tblPr>
        <w:tblStyle w:val="20"/>
        <w:tblpPr w:leftFromText="180" w:rightFromText="180" w:vertAnchor="text" w:horzAnchor="page" w:tblpX="1483" w:tblpY="1"/>
        <w:tblOverlap w:val="never"/>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0"/>
        <w:gridCol w:w="5587"/>
        <w:gridCol w:w="849"/>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blHeader/>
        </w:trPr>
        <w:tc>
          <w:tcPr>
            <w:tcW w:w="9019" w:type="dxa"/>
            <w:gridSpan w:val="4"/>
            <w:tcBorders>
              <w:bottom w:val="single" w:color="auto"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100" w:leftChars="50"/>
              <w:jc w:val="center"/>
              <w:textAlignment w:val="baseline"/>
              <w:outlineLvl w:val="0"/>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b/>
                <w:bCs/>
                <w:color w:val="000000" w:themeColor="text1"/>
                <w:sz w:val="24"/>
                <w:szCs w:val="24"/>
                <w14:textFill>
                  <w14:solidFill>
                    <w14:schemeClr w14:val="tx1"/>
                  </w14:solidFill>
                </w14:textFill>
              </w:rPr>
              <w:t>GB</w:t>
            </w:r>
            <w:r>
              <w:rPr>
                <w:rFonts w:hint="default" w:ascii="Times New Roman" w:hAnsi="Times New Roman" w:eastAsia="黑体"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黑体" w:cs="Times New Roman"/>
                <w:b/>
                <w:bCs/>
                <w:color w:val="000000" w:themeColor="text1"/>
                <w:sz w:val="24"/>
                <w:szCs w:val="24"/>
                <w14:textFill>
                  <w14:solidFill>
                    <w14:schemeClr w14:val="tx1"/>
                  </w14:solidFill>
                </w14:textFill>
              </w:rPr>
              <w:t>9706.1-2020</w:t>
            </w:r>
            <w:r>
              <w:rPr>
                <w:rFonts w:ascii="黑体" w:hAnsi="黑体" w:eastAsia="黑体" w:cs="黑体"/>
                <w:b/>
                <w:bCs/>
                <w:color w:val="000000" w:themeColor="text1"/>
                <w:sz w:val="24"/>
                <w:szCs w:val="24"/>
                <w14:textFill>
                  <w14:solidFill>
                    <w14:schemeClr w14:val="tx1"/>
                  </w14:solidFill>
                </w14:textFill>
              </w:rPr>
              <w:t>说明书检查核对表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blHeader/>
        </w:trPr>
        <w:tc>
          <w:tcPr>
            <w:tcW w:w="9019" w:type="dxa"/>
            <w:gridSpan w:val="4"/>
            <w:tcBorders>
              <w:top w:val="single" w:color="auto"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100" w:leftChars="50"/>
              <w:textAlignment w:val="baseline"/>
              <w:outlineLvl w:val="0"/>
              <w:rPr>
                <w:rFonts w:hint="eastAsia" w:ascii="黑体" w:hAnsi="黑体" w:eastAsia="黑体" w:cs="黑体"/>
                <w:b/>
                <w:bCs/>
                <w:color w:val="000000" w:themeColor="text1"/>
                <w:sz w:val="24"/>
                <w:szCs w:val="24"/>
                <w:lang w:val="en-US" w:eastAsia="zh-CN"/>
                <w14:textFill>
                  <w14:solidFill>
                    <w14:schemeClr w14:val="tx1"/>
                  </w14:solidFill>
                </w14:textFill>
              </w:rPr>
            </w:pPr>
            <w:r>
              <w:rPr>
                <w:rFonts w:hint="eastAsia" w:ascii="黑体" w:hAnsi="黑体" w:eastAsia="黑体" w:cs="黑体"/>
                <w:b/>
                <w:bCs/>
                <w:color w:val="000000" w:themeColor="text1"/>
                <w:sz w:val="24"/>
                <w:szCs w:val="24"/>
                <w:lang w:val="en-US" w:eastAsia="zh-CN"/>
                <w14:textFill>
                  <w14:solidFill>
                    <w14:schemeClr w14:val="tx1"/>
                  </w14:solidFill>
                </w14:textFill>
              </w:rPr>
              <w:t>说明书版本号：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5"/>
                <w:position w:val="5"/>
                <w:sz w:val="21"/>
                <w:szCs w:val="21"/>
                <w14:textFill>
                  <w14:solidFill>
                    <w14:schemeClr w14:val="tx1"/>
                  </w14:solidFill>
                </w14:textFill>
              </w:rPr>
              <w:t>标准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pacing w:val="-5"/>
                <w:sz w:val="21"/>
                <w:szCs w:val="21"/>
                <w14:textFill>
                  <w14:solidFill>
                    <w14:schemeClr w14:val="tx1"/>
                  </w14:solidFill>
                </w14:textFill>
              </w:rPr>
              <w:t>条款</w:t>
            </w:r>
          </w:p>
        </w:tc>
        <w:tc>
          <w:tcPr>
            <w:tcW w:w="5587"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GB</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pacing w:val="1"/>
                <w:sz w:val="21"/>
                <w:szCs w:val="21"/>
                <w14:textFill>
                  <w14:solidFill>
                    <w14:schemeClr w14:val="tx1"/>
                  </w14:solidFill>
                </w14:textFill>
              </w:rPr>
              <w:t>9706.1-2020</w:t>
            </w:r>
            <w:r>
              <w:rPr>
                <w:rFonts w:hint="eastAsia" w:ascii="宋体" w:hAnsi="宋体" w:eastAsia="宋体" w:cs="宋体"/>
                <w:b/>
                <w:bCs/>
                <w:color w:val="000000" w:themeColor="text1"/>
                <w:spacing w:val="1"/>
                <w:sz w:val="21"/>
                <w:szCs w:val="21"/>
                <w14:textFill>
                  <w14:solidFill>
                    <w14:schemeClr w14:val="tx1"/>
                  </w14:solidFill>
                </w14:textFill>
              </w:rPr>
              <w:t>标准要求</w:t>
            </w:r>
          </w:p>
        </w:tc>
        <w:tc>
          <w:tcPr>
            <w:tcW w:w="849"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2"/>
                <w:sz w:val="21"/>
                <w:szCs w:val="21"/>
                <w14:textFill>
                  <w14:solidFill>
                    <w14:schemeClr w14:val="tx1"/>
                  </w14:solidFill>
                </w14:textFill>
              </w:rPr>
              <w:t>是否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pacing w:val="7"/>
                <w:sz w:val="21"/>
                <w:szCs w:val="21"/>
                <w14:textFill>
                  <w14:solidFill>
                    <w14:schemeClr w14:val="tx1"/>
                  </w14:solidFill>
                </w14:textFill>
              </w:rPr>
              <w:t>适用</w:t>
            </w:r>
          </w:p>
        </w:tc>
        <w:tc>
          <w:tcPr>
            <w:tcW w:w="1653"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4"/>
                <w:sz w:val="21"/>
                <w:szCs w:val="21"/>
                <w14:textFill>
                  <w14:solidFill>
                    <w14:schemeClr w14:val="tx1"/>
                  </w14:solidFill>
                </w14:textFill>
              </w:rPr>
            </w:pPr>
            <w:r>
              <w:rPr>
                <w:rFonts w:hint="eastAsia" w:ascii="宋体" w:hAnsi="宋体" w:eastAsia="宋体" w:cs="宋体"/>
                <w:b/>
                <w:bCs/>
                <w:color w:val="000000" w:themeColor="text1"/>
                <w:spacing w:val="-4"/>
                <w:sz w:val="21"/>
                <w:szCs w:val="21"/>
                <w14:textFill>
                  <w14:solidFill>
                    <w14:schemeClr w14:val="tx1"/>
                  </w14:solidFill>
                </w14:textFill>
              </w:rPr>
              <w:t>页码、章节</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pacing w:val="1"/>
                <w:sz w:val="21"/>
                <w:szCs w:val="21"/>
                <w14:textFill>
                  <w14:solidFill>
                    <w14:schemeClr w14:val="tx1"/>
                  </w14:solidFill>
                </w14:textFill>
              </w:rPr>
              <w:t>(或不适用</w:t>
            </w:r>
            <w:r>
              <w:rPr>
                <w:rFonts w:hint="eastAsia" w:ascii="宋体" w:hAnsi="宋体" w:eastAsia="宋体" w:cs="宋体"/>
                <w:b/>
                <w:bCs/>
                <w:color w:val="000000" w:themeColor="text1"/>
                <w:spacing w:val="9"/>
                <w:sz w:val="21"/>
                <w:szCs w:val="21"/>
                <w14:textFill>
                  <w14:solidFill>
                    <w14:schemeClr w14:val="tx1"/>
                  </w14:solidFill>
                </w14:textFill>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930" w:type="dxa"/>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2"/>
                <w:sz w:val="21"/>
                <w:szCs w:val="21"/>
              </w:rPr>
              <w:t>4.10.1</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ME</w:t>
            </w:r>
            <w:r>
              <w:rPr>
                <w:rFonts w:hint="eastAsia" w:ascii="宋体" w:hAnsi="宋体" w:eastAsia="宋体" w:cs="宋体"/>
                <w:color w:val="auto"/>
                <w:spacing w:val="5"/>
                <w:sz w:val="21"/>
                <w:szCs w:val="21"/>
              </w:rPr>
              <w:t>设备与供电网应有合适的连接，规定连接到一个独立</w:t>
            </w:r>
            <w:r>
              <w:rPr>
                <w:rFonts w:hint="eastAsia" w:ascii="宋体" w:hAnsi="宋体" w:eastAsia="宋体" w:cs="宋体"/>
                <w:color w:val="auto"/>
                <w:spacing w:val="6"/>
                <w:sz w:val="21"/>
                <w:szCs w:val="21"/>
              </w:rPr>
              <w:t xml:space="preserve">  </w:t>
            </w:r>
            <w:r>
              <w:rPr>
                <w:rFonts w:hint="eastAsia" w:ascii="宋体" w:hAnsi="宋体" w:eastAsia="宋体" w:cs="宋体"/>
                <w:color w:val="auto"/>
                <w:sz w:val="21"/>
                <w:szCs w:val="21"/>
              </w:rPr>
              <w:t>的电源或由内部电源供电。另外，这些电源可能被组合使</w:t>
            </w:r>
            <w:r>
              <w:rPr>
                <w:rFonts w:hint="eastAsia" w:ascii="宋体" w:hAnsi="宋体" w:eastAsia="宋体" w:cs="宋体"/>
                <w:color w:val="auto"/>
                <w:spacing w:val="-5"/>
                <w:sz w:val="21"/>
                <w:szCs w:val="21"/>
              </w:rPr>
              <w:t>用。</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930" w:type="dxa"/>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7.2.5</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如果ME设备预期接收来自ME系统中其他电气设备的电能，且依赖其他电气设备以符合本部分的要求时：</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——在相关连接点附近标记IS07010-M002的安全标志(参见表D.2的安全标示10),并在使用说明书中列出详细要求；或</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——使用通常市场上不能购得的特殊规格连接器，并在使用说明书中列出详细要求。</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930" w:type="dxa"/>
            <w:vMerge w:val="restart"/>
            <w:tcBorders>
              <w:bottom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7.3.3</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预期仅由维护人员使用工具才能更换的电池，使用随附文 件资料说明中提到的识别标记即可。</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930" w:type="dxa"/>
            <w:vMerge w:val="continue"/>
            <w:tcBorders>
              <w:top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当锂电池或燃料电池被装入，并当不正确替换会导致不可接受的风险，除了在随附文件资料中给出识别标记外还应警示未经充分培训的人员替换电池会导致危险(源)(诸如超温着火或爆炸)。</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930" w:type="dxa"/>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7.3.7</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除非可以证明互换连接不会导致不可接受的风险，供电导线的端子应在端子的相邻处做标记。若ME设备太小，无法在端子处贴标记，则应在随附文件中说明。</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930" w:type="dxa"/>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7.6.1</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用于标记的符号的意思应在使用说明书中解释。</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 w:hRule="atLeast"/>
        </w:trPr>
        <w:tc>
          <w:tcPr>
            <w:tcW w:w="930" w:type="dxa"/>
            <w:vMerge w:val="restart"/>
            <w:tcBorders>
              <w:bottom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7.9.1</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ME设备应附有至少包括使用说明书和技术说明书的文件。</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0" w:type="dxa"/>
            <w:vMerge w:val="continue"/>
            <w:tcBorders>
              <w:top w:val="nil"/>
              <w:bottom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若适用，随附文件应包括下述信息以识别ME设备：</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——制造商的名称或商标和责任方可查阅的联系信息；</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 w:hRule="atLeast"/>
        </w:trPr>
        <w:tc>
          <w:tcPr>
            <w:tcW w:w="930" w:type="dxa"/>
            <w:vMerge w:val="continue"/>
            <w:tcBorders>
              <w:top w:val="nil"/>
              <w:bottom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——型号和类型参考号(见7.2.2)。</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930" w:type="dxa"/>
            <w:vMerge w:val="continue"/>
            <w:tcBorders>
              <w:top w:val="nil"/>
              <w:bottom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若随附文件以电子方式提供，可用性工程过程应包含考虑哪些信息应仍然要提供打印稿或标记在ME设备上(见12.2)。</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0" w:type="dxa"/>
            <w:vMerge w:val="continue"/>
            <w:tcBorders>
              <w:top w:val="nil"/>
              <w:bottom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随附文件应规定预期的操作者或责任方需要的任何专业技能、培训和知识，以及ME设备可以使用的任何地方或环境的限制。</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0" w:type="dxa"/>
            <w:vMerge w:val="continue"/>
            <w:tcBorders>
              <w:top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随附文件应以与预期的人员的教育、培训和特殊需求一致的水平撰写。</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930" w:type="dxa"/>
            <w:vMerge w:val="restart"/>
            <w:vAlign w:val="top"/>
          </w:tcPr>
          <w:p>
            <w:pPr>
              <w:keepNext w:val="0"/>
              <w:keepLines w:val="0"/>
              <w:pageBreakBefore w:val="0"/>
              <w:widowControl/>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"https://7.9.2.1" </w:instrText>
            </w:r>
            <w:r>
              <w:rPr>
                <w:rFonts w:hint="eastAsia" w:ascii="宋体" w:hAnsi="宋体" w:eastAsia="宋体" w:cs="宋体"/>
                <w:color w:val="auto"/>
                <w:sz w:val="21"/>
                <w:szCs w:val="21"/>
              </w:rPr>
              <w:fldChar w:fldCharType="separate"/>
            </w:r>
            <w:r>
              <w:rPr>
                <w:rFonts w:hint="eastAsia" w:ascii="宋体" w:hAnsi="宋体" w:eastAsia="宋体" w:cs="宋体"/>
                <w:color w:val="auto"/>
                <w:spacing w:val="-2"/>
                <w:sz w:val="21"/>
                <w:szCs w:val="21"/>
              </w:rPr>
              <w:t>7.9.2.1</w:t>
            </w:r>
            <w:r>
              <w:rPr>
                <w:rFonts w:hint="eastAsia" w:ascii="宋体" w:hAnsi="宋体" w:eastAsia="宋体" w:cs="宋体"/>
                <w:color w:val="auto"/>
                <w:spacing w:val="-2"/>
                <w:sz w:val="21"/>
                <w:szCs w:val="21"/>
              </w:rPr>
              <w:fldChar w:fldCharType="end"/>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使用说明书应记载：</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——制造商定义的ME设备的预期用途；</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930" w:type="dxa"/>
            <w:vMerge w:val="continue"/>
            <w:vAlign w:val="top"/>
          </w:tcPr>
          <w:p>
            <w:pPr>
              <w:keepNext w:val="0"/>
              <w:keepLines w:val="0"/>
              <w:pageBreakBefore w:val="0"/>
              <w:widowControl/>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——常用的功能；</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30" w:type="dxa"/>
            <w:vMerge w:val="continue"/>
            <w:vAlign w:val="top"/>
          </w:tcPr>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——任何已知的ME设备的禁忌症;和</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930" w:type="dxa"/>
            <w:vMerge w:val="continue"/>
            <w:vAlign w:val="top"/>
          </w:tcPr>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——当有患者使用时，ME设备的哪些部件不应被维护或保养。</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0" w:type="dxa"/>
            <w:vMerge w:val="continue"/>
            <w:vAlign w:val="top"/>
          </w:tcPr>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当患者是预期操作者，使用说明书应指出：</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——患者是预期操作者；</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30" w:type="dxa"/>
            <w:vMerge w:val="continue"/>
            <w:vAlign w:val="top"/>
          </w:tcPr>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——当ME设备使用时，对服务和维护的警告；</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930" w:type="dxa"/>
            <w:vMerge w:val="continue"/>
            <w:vAlign w:val="top"/>
          </w:tcPr>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——哪些功能患者可安全使用，若适用，哪些功能患者不能安全使用；和</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0" w:type="dxa"/>
            <w:vMerge w:val="continue"/>
            <w:vAlign w:val="top"/>
          </w:tcPr>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宋体"/>
                <w:color w:val="auto"/>
                <w:sz w:val="21"/>
                <w:szCs w:val="21"/>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——哪些维护患者可以进行(例如：更换电池)。</w:t>
            </w:r>
          </w:p>
        </w:tc>
        <w:tc>
          <w:tcPr>
            <w:tcW w:w="849" w:type="dxa"/>
            <w:vAlign w:val="top"/>
          </w:tcPr>
          <w:p>
            <w:pPr>
              <w:rPr>
                <w:rFonts w:hint="eastAsia" w:ascii="宋体" w:hAnsi="宋体" w:eastAsia="宋体" w:cs="宋体"/>
                <w:color w:val="auto"/>
                <w:sz w:val="21"/>
                <w:szCs w:val="21"/>
              </w:rPr>
            </w:pPr>
          </w:p>
        </w:tc>
        <w:tc>
          <w:tcPr>
            <w:tcW w:w="1653" w:type="dxa"/>
            <w:vAlign w:val="top"/>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shd w:val="clear" w:color="auto" w:fill="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使用说明书应指出：</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——制造商的名称或商标和地址；</w:t>
            </w:r>
          </w:p>
        </w:tc>
        <w:tc>
          <w:tcPr>
            <w:tcW w:w="849"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——型号或类型参考号。</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5"/>
                <w:position w:val="5"/>
                <w:sz w:val="21"/>
                <w:szCs w:val="21"/>
                <w14:textFill>
                  <w14:solidFill>
                    <w14:schemeClr w14:val="tx1"/>
                  </w14:solidFill>
                </w14:textFill>
              </w:rPr>
              <w:t>标准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5"/>
                <w:sz w:val="21"/>
                <w:szCs w:val="21"/>
                <w14:textFill>
                  <w14:solidFill>
                    <w14:schemeClr w14:val="tx1"/>
                  </w14:solidFill>
                </w14:textFill>
              </w:rPr>
              <w:t>条款</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GB</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pacing w:val="1"/>
                <w:sz w:val="21"/>
                <w:szCs w:val="21"/>
                <w14:textFill>
                  <w14:solidFill>
                    <w14:schemeClr w14:val="tx1"/>
                  </w14:solidFill>
                </w14:textFill>
              </w:rPr>
              <w:t>9706.1-2020</w:t>
            </w:r>
            <w:r>
              <w:rPr>
                <w:rFonts w:hint="eastAsia" w:ascii="宋体" w:hAnsi="宋体" w:eastAsia="宋体" w:cs="宋体"/>
                <w:b/>
                <w:bCs/>
                <w:color w:val="000000" w:themeColor="text1"/>
                <w:spacing w:val="1"/>
                <w:sz w:val="21"/>
                <w:szCs w:val="21"/>
                <w14:textFill>
                  <w14:solidFill>
                    <w14:schemeClr w14:val="tx1"/>
                  </w14:solidFill>
                </w14:textFill>
              </w:rPr>
              <w:t>标准要求</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2"/>
                <w:sz w:val="21"/>
                <w:szCs w:val="21"/>
                <w14:textFill>
                  <w14:solidFill>
                    <w14:schemeClr w14:val="tx1"/>
                  </w14:solidFill>
                </w14:textFill>
              </w:rPr>
              <w:t>是否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7"/>
                <w:sz w:val="21"/>
                <w:szCs w:val="21"/>
                <w14:textFill>
                  <w14:solidFill>
                    <w14:schemeClr w14:val="tx1"/>
                  </w14:solidFill>
                </w14:textFill>
              </w:rPr>
              <w:t>适用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4"/>
                <w:sz w:val="21"/>
                <w:szCs w:val="21"/>
                <w14:textFill>
                  <w14:solidFill>
                    <w14:schemeClr w14:val="tx1"/>
                  </w14:solidFill>
                </w14:textFill>
              </w:rPr>
            </w:pPr>
            <w:r>
              <w:rPr>
                <w:rFonts w:hint="eastAsia" w:ascii="宋体" w:hAnsi="宋体" w:eastAsia="宋体" w:cs="宋体"/>
                <w:b/>
                <w:bCs/>
                <w:color w:val="000000" w:themeColor="text1"/>
                <w:spacing w:val="-4"/>
                <w:sz w:val="21"/>
                <w:szCs w:val="21"/>
                <w14:textFill>
                  <w14:solidFill>
                    <w14:schemeClr w14:val="tx1"/>
                  </w14:solidFill>
                </w14:textFill>
              </w:rPr>
              <w:t>页码、章节</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1"/>
                <w:sz w:val="21"/>
                <w:szCs w:val="21"/>
                <w14:textFill>
                  <w14:solidFill>
                    <w14:schemeClr w14:val="tx1"/>
                  </w14:solidFill>
                </w14:textFill>
              </w:rPr>
              <w:t>(或不适用</w:t>
            </w:r>
            <w:r>
              <w:rPr>
                <w:rFonts w:hint="eastAsia" w:ascii="宋体" w:hAnsi="宋体" w:eastAsia="宋体" w:cs="宋体"/>
                <w:b/>
                <w:bCs/>
                <w:color w:val="000000" w:themeColor="text1"/>
                <w:spacing w:val="9"/>
                <w:sz w:val="21"/>
                <w:szCs w:val="21"/>
                <w14:textFill>
                  <w14:solidFill>
                    <w14:schemeClr w14:val="tx1"/>
                  </w14:solidFill>
                </w14:textFill>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default" w:ascii="宋体" w:hAnsi="宋体" w:eastAsia="宋体" w:cs="宋体"/>
                <w:color w:val="auto"/>
                <w:sz w:val="21"/>
                <w:szCs w:val="21"/>
                <w:lang w:val="en-GB" w:eastAsia="en-US" w:bidi="ar-SA"/>
              </w:rPr>
            </w:pPr>
            <w:r>
              <w:rPr>
                <w:rFonts w:hint="eastAsia" w:ascii="宋体" w:hAnsi="宋体" w:eastAsia="宋体" w:cs="宋体"/>
                <w:color w:val="auto"/>
                <w:sz w:val="21"/>
                <w:szCs w:val="21"/>
              </w:rPr>
              <w:t>使用说明书应包括第6章规定的所有适用分类，7.2中规定的所有标记以及安全标志和符号的解释(标记在ME设备上</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rPr>
              <w:t>)。</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default" w:ascii="宋体" w:hAnsi="宋体" w:eastAsia="宋体" w:cs="宋体"/>
                <w:color w:val="auto"/>
                <w:sz w:val="21"/>
                <w:szCs w:val="21"/>
                <w:lang w:val="en-GB" w:eastAsia="en-US" w:bidi="ar-SA"/>
              </w:rPr>
            </w:pPr>
            <w:r>
              <w:rPr>
                <w:rFonts w:hint="eastAsia" w:ascii="宋体" w:hAnsi="宋体" w:eastAsia="宋体" w:cs="宋体"/>
                <w:color w:val="auto"/>
                <w:sz w:val="21"/>
                <w:szCs w:val="21"/>
              </w:rPr>
              <w:t>使用说明书应使用预期的操作者可接受的语言。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使用说明书应包含所有警告和安全须知。</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对于I类ME设备，使用说明书应包括一个警告性声明：</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“警告：为了避免电击的风险，本设备一定要连接到有保护接地的供电网。”</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使用说明书应向操作者或责任方提供设备在特殊诊断或治疗期间由于相互干扰产生任何重大风险的警告。</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使用说明书应提供有关存在于该ME设备与其他装置之间的潜在的电磁干扰或其他干扰的资料，以及有关避免或降低这些干扰的建议。</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如果ME设备提供一个集成的多位插座，使用说明书应提供警告声明电气设备与MSO的连接建立了一个ME系统并可能导致安全等级降低。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ME系统适用的相关要求，责任方应参考本部分。</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7.9.2.3</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若ME设备预期与独立电源连接，电源应被规定为ME设备的一部分或ME设备和电源组合应被规定为ME系统。使用说明书应声明此规定</w:t>
            </w:r>
            <w:r>
              <w:rPr>
                <w:rFonts w:hint="eastAsia" w:ascii="宋体" w:hAnsi="宋体" w:cs="宋体"/>
                <w:color w:val="auto"/>
                <w:sz w:val="21"/>
                <w:szCs w:val="21"/>
                <w:lang w:eastAsia="zh-CN"/>
              </w:rPr>
              <w:t>。</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7.9.2.4</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对带有附加电源的网电源运行ME设备，若其附加电源不 能自动地保持在完全可用的状态，使用说明书应包括对该 附加电源进行定期检查或更换的警告声明。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如果电池的泄漏会导致不可接受的风险，使用说明书应包括若在一段时间内不可能使用ME设备时要取出电池的警告。</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如果内部电源是可更换的，使用说明书应声明其规格。</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如果丧失电源会导致不可接受的风险，使用说明书应包含ME设备一定要连接适合的电源的警告。</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7.9.2.5</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使用说明书应包括ME设备的简要说明、ME设备如何运行和ME设备主要的物理和性能特性。</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若适用，说明应包括在正常使用时操作者、患者和其他人员在ME设备附近的预期位置(见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"https://9.2.2.3"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9.2.2.3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使用说明书应包括可能构成不可接受风险的接触患者和操作者的材料或成分的资料。</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使用说明书应规定，除了组成ME系统部分可以连接的信号输入/输出部分外，任何其他设备或网络/数据耦合的连接限制。</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使用说明书应指明任何的应用部分。</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7.9.2.6</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如果ME设备或其部件是需要安装的，使用说明书应包含：可以找到安装说明的索引(例如：技术说明书);由制造商指定实施安装的合格人员的联系信息。</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7.9.2.7</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若器具耦合器、网电源插头或其他独立插头为满足 8.11.la)作为分断措施使用的，使用说明书应包含ME设备不要放在难以操作断开装置的地方的说明。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7.9.2.8</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使用说明书应包含操作者去运行ME设备所必需的资料， 包括诸如任何最初的控制设置、连接或定位患者等。</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使用说明书应详细说明在ME设备，其部件，或附件可被 使用前任何处置或处理。</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5"/>
                <w:position w:val="5"/>
                <w:sz w:val="21"/>
                <w:szCs w:val="21"/>
                <w14:textFill>
                  <w14:solidFill>
                    <w14:schemeClr w14:val="tx1"/>
                  </w14:solidFill>
                </w14:textFill>
              </w:rPr>
              <w:t>标准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5"/>
                <w:sz w:val="21"/>
                <w:szCs w:val="21"/>
                <w14:textFill>
                  <w14:solidFill>
                    <w14:schemeClr w14:val="tx1"/>
                  </w14:solidFill>
                </w14:textFill>
              </w:rPr>
              <w:t>条款</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GB</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pacing w:val="1"/>
                <w:sz w:val="21"/>
                <w:szCs w:val="21"/>
                <w14:textFill>
                  <w14:solidFill>
                    <w14:schemeClr w14:val="tx1"/>
                  </w14:solidFill>
                </w14:textFill>
              </w:rPr>
              <w:t>9706.1-2020</w:t>
            </w:r>
            <w:r>
              <w:rPr>
                <w:rFonts w:hint="eastAsia" w:ascii="宋体" w:hAnsi="宋体" w:eastAsia="宋体" w:cs="宋体"/>
                <w:b/>
                <w:bCs/>
                <w:color w:val="000000" w:themeColor="text1"/>
                <w:spacing w:val="1"/>
                <w:sz w:val="21"/>
                <w:szCs w:val="21"/>
                <w14:textFill>
                  <w14:solidFill>
                    <w14:schemeClr w14:val="tx1"/>
                  </w14:solidFill>
                </w14:textFill>
              </w:rPr>
              <w:t>标准要求</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2"/>
                <w:sz w:val="21"/>
                <w:szCs w:val="21"/>
                <w14:textFill>
                  <w14:solidFill>
                    <w14:schemeClr w14:val="tx1"/>
                  </w14:solidFill>
                </w14:textFill>
              </w:rPr>
              <w:t>是否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7"/>
                <w:sz w:val="21"/>
                <w:szCs w:val="21"/>
                <w14:textFill>
                  <w14:solidFill>
                    <w14:schemeClr w14:val="tx1"/>
                  </w14:solidFill>
                </w14:textFill>
              </w:rPr>
              <w:t>适用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4"/>
                <w:sz w:val="21"/>
                <w:szCs w:val="21"/>
                <w14:textFill>
                  <w14:solidFill>
                    <w14:schemeClr w14:val="tx1"/>
                  </w14:solidFill>
                </w14:textFill>
              </w:rPr>
            </w:pPr>
            <w:r>
              <w:rPr>
                <w:rFonts w:hint="eastAsia" w:ascii="宋体" w:hAnsi="宋体" w:eastAsia="宋体" w:cs="宋体"/>
                <w:b/>
                <w:bCs/>
                <w:color w:val="000000" w:themeColor="text1"/>
                <w:spacing w:val="-4"/>
                <w:sz w:val="21"/>
                <w:szCs w:val="21"/>
                <w14:textFill>
                  <w14:solidFill>
                    <w14:schemeClr w14:val="tx1"/>
                  </w14:solidFill>
                </w14:textFill>
              </w:rPr>
              <w:t>页码、章节</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1"/>
                <w:sz w:val="21"/>
                <w:szCs w:val="21"/>
                <w14:textFill>
                  <w14:solidFill>
                    <w14:schemeClr w14:val="tx1"/>
                  </w14:solidFill>
                </w14:textFill>
              </w:rPr>
              <w:t>(或不适用</w:t>
            </w:r>
            <w:r>
              <w:rPr>
                <w:rFonts w:hint="eastAsia" w:ascii="宋体" w:hAnsi="宋体" w:eastAsia="宋体" w:cs="宋体"/>
                <w:b/>
                <w:bCs/>
                <w:color w:val="000000" w:themeColor="text1"/>
                <w:spacing w:val="9"/>
                <w:sz w:val="21"/>
                <w:szCs w:val="21"/>
                <w14:textFill>
                  <w14:solidFill>
                    <w14:schemeClr w14:val="tx1"/>
                  </w14:solidFill>
                </w14:textFill>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7.9.2.9</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使用说明书应提供能使ME设备按其规定运行的全部资料。它应包括各控制器、显示器和信号的功能说明。操作顺序、可拆卸部件及附件的装、卸方法及使用过程中消耗材料更换的说明。</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ME设备上的图形、符号、警告性声明、缩写及指示灯，应在使用说明书中说明。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7.9.2.10</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使用说明书应列出产生的所有系统信息、错误信息和故障信息，除非这些信息是无需解释的。</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清单应包括信息的解释，包括重要的原因</w:t>
            </w:r>
            <w:r>
              <w:rPr>
                <w:rFonts w:hint="eastAsia" w:ascii="宋体" w:hAnsi="宋体" w:cs="宋体"/>
                <w:color w:val="auto"/>
                <w:sz w:val="21"/>
                <w:szCs w:val="21"/>
                <w:lang w:eastAsia="zh-CN"/>
              </w:rPr>
              <w:t>，</w:t>
            </w:r>
            <w:r>
              <w:rPr>
                <w:rFonts w:hint="eastAsia" w:ascii="宋体" w:hAnsi="宋体" w:eastAsia="宋体" w:cs="宋体"/>
                <w:color w:val="auto"/>
                <w:sz w:val="21"/>
                <w:szCs w:val="21"/>
              </w:rPr>
              <w:t>及操作者可能采取的行动，若有的话，必需能够通过该信息指示来解决这个情况。</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"https://7.9.2.11"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7.9.2.11</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使用说明书应包含操作者安全终止ME设备运行的必要资料 。</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"https://7.9.2.12"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7.9.2.12</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在正常使用时，对于通过接触患者或体液或呼出气体可能被污染的ME设备部件或附件，说明书应包含可使用的清洗、消毒或灭菌方法的细节</w:t>
            </w:r>
            <w:r>
              <w:rPr>
                <w:rFonts w:hint="eastAsia" w:ascii="宋体" w:hAnsi="宋体" w:cs="宋体"/>
                <w:color w:val="auto"/>
                <w:sz w:val="21"/>
                <w:szCs w:val="21"/>
                <w:lang w:eastAsia="zh-CN"/>
              </w:rPr>
              <w:t>，</w:t>
            </w:r>
            <w:r>
              <w:rPr>
                <w:rFonts w:hint="eastAsia" w:ascii="宋体" w:hAnsi="宋体" w:eastAsia="宋体" w:cs="宋体"/>
                <w:color w:val="auto"/>
                <w:sz w:val="21"/>
                <w:szCs w:val="21"/>
              </w:rPr>
              <w:t>和列出这些ME设备部件或附件可承受的适用的参数</w:t>
            </w:r>
            <w:r>
              <w:rPr>
                <w:rFonts w:hint="eastAsia" w:ascii="宋体" w:hAnsi="宋体" w:cs="宋体"/>
                <w:color w:val="auto"/>
                <w:sz w:val="21"/>
                <w:szCs w:val="21"/>
                <w:lang w:eastAsia="zh-CN"/>
              </w:rPr>
              <w:t>，</w:t>
            </w:r>
            <w:r>
              <w:rPr>
                <w:rFonts w:hint="eastAsia" w:ascii="宋体" w:hAnsi="宋体" w:eastAsia="宋体" w:cs="宋体"/>
                <w:color w:val="auto"/>
                <w:sz w:val="21"/>
                <w:szCs w:val="21"/>
              </w:rPr>
              <w:t>诸如：温度、压力、湿度和时间的限值及循环次数。</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107"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除非制造商规定材料、元器件、附件或ME设备在使用前要清洗、消毒或灭菌，本要求不适用于标记预期一次性使用的任何材料、元器件、附件或ME设备(见7.2.1)。</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"https://7.9.2.13"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7.9.2.13</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使用说明书应告知操作者或责任方需要执行的关于预防性检查、保养和校准的详细细节，包括保养的频率。</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107"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使用说明书应提供安全地执行必需的常规保养的资料，以确保ME设备能持续安全使用。</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107"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此外，使用说明书还应提出哪些部件应由维护人员进行预防性检查和保养</w:t>
            </w:r>
            <w:r>
              <w:rPr>
                <w:rFonts w:hint="eastAsia" w:ascii="宋体" w:hAnsi="宋体" w:cs="宋体"/>
                <w:color w:val="auto"/>
                <w:sz w:val="21"/>
                <w:szCs w:val="21"/>
                <w:lang w:eastAsia="zh-CN"/>
              </w:rPr>
              <w:t>，</w:t>
            </w:r>
            <w:r>
              <w:rPr>
                <w:rFonts w:hint="eastAsia" w:ascii="宋体" w:hAnsi="宋体" w:eastAsia="宋体" w:cs="宋体"/>
                <w:color w:val="auto"/>
                <w:sz w:val="21"/>
                <w:szCs w:val="21"/>
              </w:rPr>
              <w:t>以及适用的周期</w:t>
            </w:r>
            <w:r>
              <w:rPr>
                <w:rFonts w:hint="eastAsia" w:ascii="宋体" w:hAnsi="宋体" w:cs="宋体"/>
                <w:color w:val="auto"/>
                <w:sz w:val="21"/>
                <w:szCs w:val="21"/>
                <w:lang w:eastAsia="zh-CN"/>
              </w:rPr>
              <w:t>，</w:t>
            </w:r>
            <w:r>
              <w:rPr>
                <w:rFonts w:hint="eastAsia" w:ascii="宋体" w:hAnsi="宋体" w:eastAsia="宋体" w:cs="宋体"/>
                <w:color w:val="auto"/>
                <w:sz w:val="21"/>
                <w:szCs w:val="21"/>
              </w:rPr>
              <w:t>但不必包括执行这种保养的具体细节。</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107"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包含预期由维护人员外的任何其他人保养的可充电电池的ME设备</w:t>
            </w:r>
            <w:r>
              <w:rPr>
                <w:rFonts w:hint="eastAsia" w:ascii="宋体" w:hAnsi="宋体" w:cs="宋体"/>
                <w:color w:val="auto"/>
                <w:sz w:val="21"/>
                <w:szCs w:val="21"/>
                <w:lang w:eastAsia="zh-CN"/>
              </w:rPr>
              <w:t>，</w:t>
            </w:r>
            <w:r>
              <w:rPr>
                <w:rFonts w:hint="eastAsia" w:ascii="宋体" w:hAnsi="宋体" w:eastAsia="宋体" w:cs="宋体"/>
                <w:color w:val="auto"/>
                <w:sz w:val="21"/>
                <w:szCs w:val="21"/>
              </w:rPr>
              <w:t>使用说明书应有说明以确保充分的保养。</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"https://7.9.2.14"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7.9.2.14</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使用说明书应包括制造商确定的旨在与ME设备一起使用的附件、可拆卸部件和材料的清单。</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如果ME设备预期接收来自ME系统中其他设备的电能，使用说明书中应明确这些其他设备的规格以确保符合本部分的要求(例如：部件号、额定电压、最大或最小功率、防护分类、间歇或连续工作)。</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"https://7.9.2.15"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7.9.2.15</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使用说明书应提供废弃物、残渣等以及ME设备和附件在其预期使用寿命结束时正确处理的建议。</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"https://7.9.2.16"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7.9.2.16</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使用说明书应包含7.9.3规定的资料或提及哪里可以找到7.9.3规定材料(例如:在维修手册中)。</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"https://7.9.2.17"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7.9.2.17</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为了医用目的发射辐射的ME设备，使用说明书应指出辐射的性质、类型、强度和分布。</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7.9.2.18</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无菌的ME设备或附件的使用说明书应指明已被灭菌和灭菌的方法。</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使用说明书应指明灭菌包装损坏发生的必要的处理程序，适当时，应详细的说明重新灭菌的适当方法(见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"https://7.9.2.12"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7.9.2.12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7.9.2.19</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pacing w:val="4"/>
                <w:sz w:val="21"/>
                <w:szCs w:val="21"/>
              </w:rPr>
              <w:t>使用说明书应包含唯一的版本识别，诸如发布日期。</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bl>
    <w:p>
      <w:pPr>
        <w:rPr>
          <w:lang w:eastAsia="zh-CN"/>
        </w:rPr>
      </w:pPr>
    </w:p>
    <w:tbl>
      <w:tblPr>
        <w:tblStyle w:val="20"/>
        <w:tblpPr w:leftFromText="180" w:rightFromText="180" w:vertAnchor="text" w:horzAnchor="page" w:tblpX="1483" w:tblpY="1"/>
        <w:tblOverlap w:val="never"/>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0"/>
        <w:gridCol w:w="5587"/>
        <w:gridCol w:w="849"/>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5"/>
                <w:position w:val="5"/>
                <w:sz w:val="21"/>
                <w:szCs w:val="21"/>
                <w14:textFill>
                  <w14:solidFill>
                    <w14:schemeClr w14:val="tx1"/>
                  </w14:solidFill>
                </w14:textFill>
              </w:rPr>
              <w:t>标准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5"/>
                <w:sz w:val="21"/>
                <w:szCs w:val="21"/>
                <w14:textFill>
                  <w14:solidFill>
                    <w14:schemeClr w14:val="tx1"/>
                  </w14:solidFill>
                </w14:textFill>
              </w:rPr>
              <w:t>条款</w:t>
            </w:r>
          </w:p>
        </w:tc>
        <w:tc>
          <w:tcPr>
            <w:tcW w:w="5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GB</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pacing w:val="1"/>
                <w:sz w:val="21"/>
                <w:szCs w:val="21"/>
                <w14:textFill>
                  <w14:solidFill>
                    <w14:schemeClr w14:val="tx1"/>
                  </w14:solidFill>
                </w14:textFill>
              </w:rPr>
              <w:t>9706.1-2020</w:t>
            </w:r>
            <w:r>
              <w:rPr>
                <w:rFonts w:hint="eastAsia" w:ascii="宋体" w:hAnsi="宋体" w:eastAsia="宋体" w:cs="宋体"/>
                <w:b/>
                <w:bCs/>
                <w:color w:val="000000" w:themeColor="text1"/>
                <w:spacing w:val="1"/>
                <w:sz w:val="21"/>
                <w:szCs w:val="21"/>
                <w14:textFill>
                  <w14:solidFill>
                    <w14:schemeClr w14:val="tx1"/>
                  </w14:solidFill>
                </w14:textFill>
              </w:rPr>
              <w:t>标准要求</w:t>
            </w: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2"/>
                <w:sz w:val="21"/>
                <w:szCs w:val="21"/>
                <w14:textFill>
                  <w14:solidFill>
                    <w14:schemeClr w14:val="tx1"/>
                  </w14:solidFill>
                </w14:textFill>
              </w:rPr>
              <w:t>是否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7"/>
                <w:sz w:val="21"/>
                <w:szCs w:val="21"/>
                <w14:textFill>
                  <w14:solidFill>
                    <w14:schemeClr w14:val="tx1"/>
                  </w14:solidFill>
                </w14:textFill>
              </w:rPr>
              <w:t>适用</w:t>
            </w:r>
          </w:p>
        </w:tc>
        <w:tc>
          <w:tcPr>
            <w:tcW w:w="1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4"/>
                <w:sz w:val="21"/>
                <w:szCs w:val="21"/>
                <w14:textFill>
                  <w14:solidFill>
                    <w14:schemeClr w14:val="tx1"/>
                  </w14:solidFill>
                </w14:textFill>
              </w:rPr>
            </w:pPr>
            <w:r>
              <w:rPr>
                <w:rFonts w:hint="eastAsia" w:ascii="宋体" w:hAnsi="宋体" w:eastAsia="宋体" w:cs="宋体"/>
                <w:b/>
                <w:bCs/>
                <w:color w:val="000000" w:themeColor="text1"/>
                <w:spacing w:val="-4"/>
                <w:sz w:val="21"/>
                <w:szCs w:val="21"/>
                <w14:textFill>
                  <w14:solidFill>
                    <w14:schemeClr w14:val="tx1"/>
                  </w14:solidFill>
                </w14:textFill>
              </w:rPr>
              <w:t>页码、章节</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1"/>
                <w:sz w:val="21"/>
                <w:szCs w:val="21"/>
                <w14:textFill>
                  <w14:solidFill>
                    <w14:schemeClr w14:val="tx1"/>
                  </w14:solidFill>
                </w14:textFill>
              </w:rPr>
              <w:t>(或不适用</w:t>
            </w:r>
            <w:r>
              <w:rPr>
                <w:rFonts w:hint="eastAsia" w:ascii="宋体" w:hAnsi="宋体" w:eastAsia="宋体" w:cs="宋体"/>
                <w:b/>
                <w:bCs/>
                <w:color w:val="000000" w:themeColor="text1"/>
                <w:spacing w:val="9"/>
                <w:sz w:val="21"/>
                <w:szCs w:val="21"/>
                <w14:textFill>
                  <w14:solidFill>
                    <w14:schemeClr w14:val="tx1"/>
                  </w14:solidFill>
                </w14:textFill>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7.9.3.1</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技术说明书应提供ME设备安全运行、运输和贮存、安装 所需要的措施和条件，以及准备使用的所有必要数据。这 应包括 ：</w:t>
            </w: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——容许使用的环境条件，包括运输和贮存条件。见 7.2.17。</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——ME设备所有的特性参数，包括范围、准确度以及显示值 的精度或在何处获取这些参数的指示。</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——任何特殊的安装要求，诸如：供电网的最大容许近似阻抗。</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——如果使用液体冷却、进口压力和流量值的容许范围，以及冷却液的化学成分。</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——ME设备与供电网隔离措施的说明，若该措施与ME设备不是一体的(见8.11.1b)]。</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——若适用，部分用油密封的ME设备或其部件检查油位措施的说明(见15.4.9)。</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——警告性声明中要提出未经授权改装ME设备可能导致危 险(源),例如如下声明：</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“警告：不准许改装本设备。”</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“警告：未经制造商授权不要改装本设备。”</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“警告：如果改装本设备，一定要进行适当的检查和试验以确保设备能持续安全使用。”</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——基本性能及任何对基本性能和基本安全进行的必要的周期性测试的相关资料，包括措施、方法及建议频率的细节。</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 xml:space="preserve">如果技术说明书与使用说明书是分开的，应包： </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——7.2要求的资料；</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zh-CN"/>
              </w:rPr>
            </w:pPr>
            <w:r>
              <w:rPr>
                <w:rFonts w:hint="eastAsia" w:ascii="宋体" w:hAnsi="宋体" w:eastAsia="宋体" w:cs="宋体"/>
                <w:color w:val="auto"/>
                <w:sz w:val="21"/>
                <w:szCs w:val="21"/>
              </w:rPr>
              <w:t>——第6章规定的所有适用分类、任何警告和安全标志以及 安全符号的解释(标记在ME设备上的)</w:t>
            </w:r>
            <w:r>
              <w:rPr>
                <w:rFonts w:hint="eastAsia" w:ascii="宋体" w:hAnsi="宋体" w:eastAsia="宋体" w:cs="宋体"/>
                <w:color w:val="auto"/>
                <w:sz w:val="21"/>
                <w:szCs w:val="21"/>
                <w:lang w:eastAsia="zh-CN"/>
              </w:rPr>
              <w:t>：</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——ME设备的简要描述，ME设备如何运行以及其重要的物理和性能特性；和</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——唯一的版本识别，例如发布日期。</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制造商可指定维护人员的最低资格。若指定，这些要求应在技术说明书中记载。</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7.9.3.2</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——若不能根据ME设备的额定电流和运行模式来决定熔断器型号和标称值时，永久性安装的ME设备外部供电网中使用的熔断器型号和所有标称值；</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——具有不可拆卸电源软电线的ME设备，声明是否由维护人员更换电源软电线，如果是，说明正确的连接和固定以保证8.11.3的要求持续满足；</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——制造商规定由维护人员更换的可互换或可拆卸部件的正确更换说明；和</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——当元器件的更换可能导致不可接受的风险时，说明危险(源)性质的适当警告，以及如果制造商规定由维护人员更换元器件，安全更换元器件的所有必要的资料。</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7.9.3.3</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技术说明书应声明制造商可按要求提供电路图、元器件清单、图注、校准细则，或其他有助于维护人员修理由制造商指定的维护人员可修理的ME设备部件的资料。</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7.9.3.4</w:t>
            </w:r>
          </w:p>
        </w:tc>
        <w:tc>
          <w:tcPr>
            <w:tcW w:w="5587" w:type="dxa"/>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技术说明书应清晰指明使用任何措施以达到符合8.11.1 的要求。</w:t>
            </w:r>
          </w:p>
        </w:tc>
        <w:tc>
          <w:tcPr>
            <w:tcW w:w="849"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bl>
    <w:p>
      <w:pPr>
        <w:rPr>
          <w:lang w:eastAsia="zh-CN"/>
        </w:rPr>
      </w:pPr>
    </w:p>
    <w:tbl>
      <w:tblPr>
        <w:tblStyle w:val="20"/>
        <w:tblpPr w:leftFromText="180" w:rightFromText="180" w:vertAnchor="text" w:horzAnchor="page" w:tblpX="1483" w:tblpY="1"/>
        <w:tblOverlap w:val="never"/>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0"/>
        <w:gridCol w:w="5587"/>
        <w:gridCol w:w="849"/>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5"/>
                <w:position w:val="5"/>
                <w:sz w:val="21"/>
                <w:szCs w:val="21"/>
                <w14:textFill>
                  <w14:solidFill>
                    <w14:schemeClr w14:val="tx1"/>
                  </w14:solidFill>
                </w14:textFill>
              </w:rPr>
              <w:t>标准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5"/>
                <w:sz w:val="21"/>
                <w:szCs w:val="21"/>
                <w14:textFill>
                  <w14:solidFill>
                    <w14:schemeClr w14:val="tx1"/>
                  </w14:solidFill>
                </w14:textFill>
              </w:rPr>
              <w:t>条款</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GB</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pacing w:val="1"/>
                <w:sz w:val="21"/>
                <w:szCs w:val="21"/>
                <w14:textFill>
                  <w14:solidFill>
                    <w14:schemeClr w14:val="tx1"/>
                  </w14:solidFill>
                </w14:textFill>
              </w:rPr>
              <w:t>9706.1-2020</w:t>
            </w:r>
            <w:r>
              <w:rPr>
                <w:rFonts w:hint="eastAsia" w:ascii="宋体" w:hAnsi="宋体" w:eastAsia="宋体" w:cs="宋体"/>
                <w:b/>
                <w:bCs/>
                <w:color w:val="000000" w:themeColor="text1"/>
                <w:spacing w:val="1"/>
                <w:sz w:val="21"/>
                <w:szCs w:val="21"/>
                <w14:textFill>
                  <w14:solidFill>
                    <w14:schemeClr w14:val="tx1"/>
                  </w14:solidFill>
                </w14:textFill>
              </w:rPr>
              <w:t>标准要求</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2"/>
                <w:sz w:val="21"/>
                <w:szCs w:val="21"/>
                <w14:textFill>
                  <w14:solidFill>
                    <w14:schemeClr w14:val="tx1"/>
                  </w14:solidFill>
                </w14:textFill>
              </w:rPr>
              <w:t>是否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7"/>
                <w:sz w:val="21"/>
                <w:szCs w:val="21"/>
                <w14:textFill>
                  <w14:solidFill>
                    <w14:schemeClr w14:val="tx1"/>
                  </w14:solidFill>
                </w14:textFill>
              </w:rPr>
              <w:t>适用</w:t>
            </w:r>
          </w:p>
        </w:tc>
        <w:tc>
          <w:tcPr>
            <w:tcW w:w="1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4"/>
                <w:sz w:val="21"/>
                <w:szCs w:val="21"/>
                <w14:textFill>
                  <w14:solidFill>
                    <w14:schemeClr w14:val="tx1"/>
                  </w14:solidFill>
                </w14:textFill>
              </w:rPr>
            </w:pPr>
            <w:r>
              <w:rPr>
                <w:rFonts w:hint="eastAsia" w:ascii="宋体" w:hAnsi="宋体" w:eastAsia="宋体" w:cs="宋体"/>
                <w:b/>
                <w:bCs/>
                <w:color w:val="000000" w:themeColor="text1"/>
                <w:spacing w:val="-4"/>
                <w:sz w:val="21"/>
                <w:szCs w:val="21"/>
                <w14:textFill>
                  <w14:solidFill>
                    <w14:schemeClr w14:val="tx1"/>
                  </w14:solidFill>
                </w14:textFill>
              </w:rPr>
              <w:t>页码、章节</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1"/>
                <w:sz w:val="21"/>
                <w:szCs w:val="21"/>
                <w14:textFill>
                  <w14:solidFill>
                    <w14:schemeClr w14:val="tx1"/>
                  </w14:solidFill>
                </w14:textFill>
              </w:rPr>
              <w:t>(或不适用</w:t>
            </w:r>
            <w:r>
              <w:rPr>
                <w:rFonts w:hint="eastAsia" w:ascii="宋体" w:hAnsi="宋体" w:eastAsia="宋体" w:cs="宋体"/>
                <w:b/>
                <w:bCs/>
                <w:color w:val="000000" w:themeColor="text1"/>
                <w:spacing w:val="9"/>
                <w:sz w:val="21"/>
                <w:szCs w:val="21"/>
                <w14:textFill>
                  <w14:solidFill>
                    <w14:schemeClr w14:val="tx1"/>
                  </w14:solidFill>
                </w14:textFill>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8.4.4</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对电容器或与其相连的电路应标记GB/T5465.2中5036的符号(参见表D.1的符号24),并且非自动放电装置应在技术说明书中说明。</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"https://8.5.5.1"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8.5.5.1</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b)施加除颤电压后，随附文件中规定的任何必要的恢复时间。</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8.6.7</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使用说明书应包含电位均衡导线的功能和使用的信息，并提示参考本部分对ME系统的要求。</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8.6.9</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如果带有隔离的内部屏蔽的Ⅱ类ME设备，采用三根导线的电源软电线供电，则第三根导线(与网电源插头的保护接地连接点相连)应只能用作从内部屏蔽到功能接地端子的功能接地连接，且应是绿/黄色的。</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在这种情况下随附文件中应声明电源软电线中的第三根导线仅是功能地。</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8.11.1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对于永久性安装ME设备</w:t>
            </w:r>
            <w:r>
              <w:rPr>
                <w:rFonts w:hint="eastAsia" w:ascii="宋体" w:hAnsi="宋体" w:cs="宋体"/>
                <w:color w:val="auto"/>
                <w:sz w:val="21"/>
                <w:szCs w:val="21"/>
                <w:lang w:eastAsia="zh-CN"/>
              </w:rPr>
              <w:t>，</w:t>
            </w:r>
            <w:r>
              <w:rPr>
                <w:rFonts w:hint="eastAsia" w:ascii="宋体" w:hAnsi="宋体" w:eastAsia="宋体" w:cs="宋体"/>
                <w:color w:val="auto"/>
                <w:sz w:val="21"/>
                <w:szCs w:val="21"/>
              </w:rPr>
              <w:t>分断装置的要求应在随附文件中说明。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"https://9.4.2.2"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9.4.2.2</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如果除了运输状态之外，当被置于正常使用的任意位置时，ME设备或其部件会在与水平面成10°角的平面上发生失衡现象，则应有警告标志，说明宜仅在某一特定条件下进行运输，应在使用说明书中清楚地描述该特定条件或在ME设备上标记如果其自身或其部件失衡所带来的剩余风险的指示。</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"https://9.4.2.4"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9.4.2.4</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r>
              <w:rPr>
                <w:rFonts w:hint="eastAsia" w:ascii="宋体" w:hAnsi="宋体" w:cs="宋体"/>
                <w:b/>
                <w:bCs/>
                <w:color w:val="000000" w:themeColor="text1"/>
                <w:spacing w:val="-5"/>
                <w:sz w:val="21"/>
                <w:szCs w:val="21"/>
                <w:lang w:val="en-US" w:eastAsia="zh-CN"/>
                <w14:textFill>
                  <w14:solidFill>
                    <w14:schemeClr w14:val="tx1"/>
                  </w14:solidFill>
                </w14:textFill>
              </w:rPr>
              <w:t>. 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用于推动移动的ME设备在坚硬平摊水平面上移动的外力不能超过200N,除非使用说明书中声明了需要多人才能推动。</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"https://9.4.2.4"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9.4.2.4</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r>
              <w:rPr>
                <w:rFonts w:hint="eastAsia" w:ascii="宋体" w:hAnsi="宋体" w:cs="宋体"/>
                <w:b/>
                <w:bCs/>
                <w:color w:val="000000" w:themeColor="text1"/>
                <w:spacing w:val="-5"/>
                <w:sz w:val="21"/>
                <w:szCs w:val="21"/>
                <w:lang w:val="en-US" w:eastAsia="zh-CN"/>
                <w14:textFill>
                  <w14:solidFill>
                    <w14:schemeClr w14:val="tx1"/>
                  </w14:solidFill>
                </w14:textFill>
              </w:rPr>
              <w:t>. 3</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ME设备配置为运输状态，并按随附文件规定的位置装配安全工作载荷。</w:t>
            </w:r>
            <w:r>
              <w:rPr>
                <w:rFonts w:hint="eastAsia" w:ascii="宋体" w:hAnsi="宋体" w:eastAsia="宋体" w:cs="宋体"/>
                <w:color w:val="auto"/>
                <w:sz w:val="21"/>
                <w:szCs w:val="21"/>
                <w:lang w:val="en-US" w:eastAsia="zh-CN"/>
              </w:rPr>
              <w:t>应按照随附文件中使用说明书中的操作方法推过障碍物，或者如果说明书没有给出方法，用以下试验。</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9.4.4</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a)除了可携带的ME设备，质量超过20kg且在正常使用或运输中需要被提起的ME设备或其部件，除非提起的方法是显而易见的且在提起时不会发生任何不可接受的风险，应备有合适的提拎装置(例如把手、起重环等),或在随附文件中应指明其可以被安全起吊的位置点。如果用把手提起设备，那么它们应放置在适当位置以使得ME设备或其部件可以由两人或多人搬运</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"https://9.6.2.1"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9.6.2.1</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b)测量声能时，准备好提供的或随附文件要求的防护措 施。</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9.8.1</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ME设备中，用于支承载荷或提供动力的部件，如果机械失效可能导致不可接受的风险，随附文件中应包括在地面、墙壁、天花板等位置进行安装的说明。对于连接件的材料要有充分的设计余量以保证连接的可靠性，且应附有所需材料的列表。另外，应给出检查用于安装部件的结构表面是否适当的建议。</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"https://9.8.3.1"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9.8.3.1</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如果制造商规定了专门的应用(如用于儿科),ME设备或其用于支持或悬挂患者的部件的安全工作载荷中的患者最大重量可以调整。</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当患者重量的最大允许值小于135kg时，其值应在ME设备上有明确标识且在随附文件中说明。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当患者重量的最大允许值大于135kg时，其值应在随附文件中说明。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"https://9.8.4.3"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9.8.4.3</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如果机械防护装置预期功能是一次性的，随附文件中应注明，一旦机械防护装置动作，要通知服务人员，在更换机械防护装置前不能再使用ME设备。</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5"/>
                <w:position w:val="5"/>
                <w:sz w:val="21"/>
                <w:szCs w:val="21"/>
                <w14:textFill>
                  <w14:solidFill>
                    <w14:schemeClr w14:val="tx1"/>
                  </w14:solidFill>
                </w14:textFill>
              </w:rPr>
              <w:t>标准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5"/>
                <w:sz w:val="21"/>
                <w:szCs w:val="21"/>
                <w14:textFill>
                  <w14:solidFill>
                    <w14:schemeClr w14:val="tx1"/>
                  </w14:solidFill>
                </w14:textFill>
              </w:rPr>
              <w:t>条款</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GB</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pacing w:val="1"/>
                <w:sz w:val="21"/>
                <w:szCs w:val="21"/>
                <w14:textFill>
                  <w14:solidFill>
                    <w14:schemeClr w14:val="tx1"/>
                  </w14:solidFill>
                </w14:textFill>
              </w:rPr>
              <w:t>9706.1-2020</w:t>
            </w:r>
            <w:r>
              <w:rPr>
                <w:rFonts w:hint="eastAsia" w:ascii="宋体" w:hAnsi="宋体" w:eastAsia="宋体" w:cs="宋体"/>
                <w:b/>
                <w:bCs/>
                <w:color w:val="000000" w:themeColor="text1"/>
                <w:spacing w:val="1"/>
                <w:sz w:val="21"/>
                <w:szCs w:val="21"/>
                <w14:textFill>
                  <w14:solidFill>
                    <w14:schemeClr w14:val="tx1"/>
                  </w14:solidFill>
                </w14:textFill>
              </w:rPr>
              <w:t>标准要求</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2"/>
                <w:sz w:val="21"/>
                <w:szCs w:val="21"/>
                <w14:textFill>
                  <w14:solidFill>
                    <w14:schemeClr w14:val="tx1"/>
                  </w14:solidFill>
                </w14:textFill>
              </w:rPr>
              <w:t>是否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7"/>
                <w:sz w:val="21"/>
                <w:szCs w:val="21"/>
                <w14:textFill>
                  <w14:solidFill>
                    <w14:schemeClr w14:val="tx1"/>
                  </w14:solidFill>
                </w14:textFill>
              </w:rPr>
              <w:t>适用</w:t>
            </w:r>
          </w:p>
        </w:tc>
        <w:tc>
          <w:tcPr>
            <w:tcW w:w="1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4"/>
                <w:sz w:val="21"/>
                <w:szCs w:val="21"/>
                <w14:textFill>
                  <w14:solidFill>
                    <w14:schemeClr w14:val="tx1"/>
                  </w14:solidFill>
                </w14:textFill>
              </w:rPr>
            </w:pPr>
            <w:r>
              <w:rPr>
                <w:rFonts w:hint="eastAsia" w:ascii="宋体" w:hAnsi="宋体" w:eastAsia="宋体" w:cs="宋体"/>
                <w:b/>
                <w:bCs/>
                <w:color w:val="000000" w:themeColor="text1"/>
                <w:spacing w:val="-4"/>
                <w:sz w:val="21"/>
                <w:szCs w:val="21"/>
                <w14:textFill>
                  <w14:solidFill>
                    <w14:schemeClr w14:val="tx1"/>
                  </w14:solidFill>
                </w14:textFill>
              </w:rPr>
              <w:t>页码、章节</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1"/>
                <w:sz w:val="21"/>
                <w:szCs w:val="21"/>
                <w14:textFill>
                  <w14:solidFill>
                    <w14:schemeClr w14:val="tx1"/>
                  </w14:solidFill>
                </w14:textFill>
              </w:rPr>
              <w:t>(或不适用</w:t>
            </w:r>
            <w:r>
              <w:rPr>
                <w:rFonts w:hint="eastAsia" w:ascii="宋体" w:hAnsi="宋体" w:eastAsia="宋体" w:cs="宋体"/>
                <w:b/>
                <w:bCs/>
                <w:color w:val="000000" w:themeColor="text1"/>
                <w:spacing w:val="9"/>
                <w:sz w:val="21"/>
                <w:szCs w:val="21"/>
                <w14:textFill>
                  <w14:solidFill>
                    <w14:schemeClr w14:val="tx1"/>
                  </w14:solidFill>
                </w14:textFill>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fldChar w:fldCharType="begin"/>
            </w:r>
            <w:r>
              <w:rPr>
                <w:rFonts w:hint="eastAsia" w:ascii="宋体" w:hAnsi="宋体" w:cs="宋体"/>
                <w:b/>
                <w:bCs/>
                <w:color w:val="000000" w:themeColor="text1"/>
                <w:spacing w:val="-5"/>
                <w:sz w:val="21"/>
                <w:szCs w:val="21"/>
                <w:lang w:val="en-US" w:eastAsia="zh-CN"/>
                <w14:textFill>
                  <w14:solidFill>
                    <w14:schemeClr w14:val="tx1"/>
                  </w14:solidFill>
                </w14:textFill>
              </w:rPr>
              <w:instrText xml:space="preserve"> HYPERLINK "https://11.1.2.1" </w:instrTex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separate"/>
            </w:r>
            <w:r>
              <w:rPr>
                <w:rFonts w:hint="eastAsia" w:ascii="宋体" w:hAnsi="宋体" w:cs="宋体"/>
                <w:b/>
                <w:bCs/>
                <w:color w:val="000000" w:themeColor="text1"/>
                <w:spacing w:val="-5"/>
                <w:sz w:val="21"/>
                <w:szCs w:val="21"/>
                <w:lang w:val="en-US" w:eastAsia="zh-CN"/>
                <w14:textFill>
                  <w14:solidFill>
                    <w14:schemeClr w14:val="tx1"/>
                  </w14:solidFill>
                </w14:textFill>
              </w:rPr>
              <w:t>11.1.2.1</w:t>
            </w:r>
            <w:r>
              <w:rPr>
                <w:rFonts w:hint="eastAsia" w:ascii="宋体" w:hAnsi="宋体" w:cs="宋体"/>
                <w:b/>
                <w:bCs/>
                <w:color w:val="000000" w:themeColor="text1"/>
                <w:spacing w:val="-5"/>
                <w:sz w:val="21"/>
                <w:szCs w:val="21"/>
                <w:lang w:val="en-US" w:eastAsia="zh-CN"/>
                <w14:textFill>
                  <w14:solidFill>
                    <w14:schemeClr w14:val="tx1"/>
                  </w14:solidFill>
                </w14:textFill>
              </w:rPr>
              <w:fldChar w:fldCharType="end"/>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温度和临床影响应在使用说明书中明示。</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11.1.2.2</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如果应用部分的表面温度超过41℃时，在使用说明书中应明示最高温度。</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1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11.4</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随附文件中说明的使用易燃麻醉剂(AP分类)或使用与氧化剂混合使用的易燃麻醉剂(APG分类)的ME设备或ME系统或其部件应满足附录G的适用要求。</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cs="宋体"/>
                <w:b/>
                <w:bCs/>
                <w:color w:val="000000" w:themeColor="text1"/>
                <w:spacing w:val="-5"/>
                <w:sz w:val="21"/>
                <w:szCs w:val="21"/>
                <w:lang w:val="en-US" w:eastAsia="zh-CN"/>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14.13</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如果PEMS预期接入未经PEMS制造商确认过的IT-网络，</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制造商为实现这样的连接应提供有效的说明，包括以下内容：</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a)PEMS连接到IT-网络的目的；</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b)与PEMS相连的IT-网络所要求的特性；</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c)与PEMS相连的IT-网络所需的配置；</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d)PEMS网络连接的技术规格说明，包括数据安全规格说明；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e)在PEMS,IT-网络和IT-网络上的其他设备间的预期信息流，以及预期通过IT-网络的路由；和</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f)为达到PEMS与IT-网络连接目的所需特性的IT-网络失效时的危险情况清单。</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在随附文件中，制造商应告知责任方：</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——PEMS与包含其他设备的IT-网络的连接可能导致对患者、操作者、第三方带来以往没有识别的风险；</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——责任方宜识别、分析、评价和控制这些风险；</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——对IT-网络的后续修改可能引入新的风险，需要进行补充分析；</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spacing w:before="99" w:line="184" w:lineRule="auto"/>
              <w:ind w:left="134" w:leftChars="0"/>
              <w:rPr>
                <w:rFonts w:hint="eastAsia" w:ascii="宋体" w:hAnsi="宋体" w:eastAsia="宋体" w:cs="宋体"/>
                <w:color w:val="auto"/>
                <w:sz w:val="21"/>
                <w:szCs w:val="21"/>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——IT-网络的更改包括：</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IT- 网络配置的更改；</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与IT- 网络连接的新增项；</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与IT- 网络连接中断的项；</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与IT-网络连接的设备的更新；</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 与IT-网络连接的设备的升级。</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r>
              <w:rPr>
                <w:rFonts w:hint="eastAsia" w:ascii="宋体" w:hAnsi="宋体" w:cs="宋体"/>
                <w:b/>
                <w:bCs/>
                <w:color w:val="000000" w:themeColor="text1"/>
                <w:spacing w:val="-5"/>
                <w:sz w:val="21"/>
                <w:szCs w:val="21"/>
                <w:lang w:val="en-US" w:eastAsia="zh-CN"/>
                <w14:textFill>
                  <w14:solidFill>
                    <w14:schemeClr w14:val="tx1"/>
                  </w14:solidFill>
                </w14:textFill>
              </w:rPr>
              <w:t>16.2</w:t>
            </w: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ME系统(包括改造的ME系统)应附带文件，提供包括按 制造商规定使用ME系统的所有必要数据及责任方可查询的地址。</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随附文件应被认为是ME系统的一部分。</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这些文件应包括：</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a)制造商提供的每台ME设备部件的随附文件(见7.8.2)。</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b)制造商提供的每台非ME设备部件的随附文件。</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c)以下资料：</w:t>
            </w:r>
          </w:p>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——ME设备的规格，包括制造商规定的使用方法和所有组成ME系统的部件清单；</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——安装、装配和改装ME系统的说明，以确保ME系统持续符合本部分的要求；</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——组成ME系统的每台设备或设备部件的清洗说明，若适用，也包括灭菌和消毒的说明(见11.6.6和11.6.7);</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——在ME系统安装期间宜采取的附加安全措施</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——ME系统的哪些部件适合在患者环境下使用；</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——在预防性维护期间宜采取的附加措施；</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color w:val="auto"/>
                <w:sz w:val="21"/>
                <w:szCs w:val="21"/>
                <w:lang w:val="en-US" w:eastAsia="zh-CN"/>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right="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一若有多位插座且是独立的部件，有其不应放在地上的警告；</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5"/>
                <w:position w:val="5"/>
                <w:sz w:val="21"/>
                <w:szCs w:val="21"/>
                <w14:textFill>
                  <w14:solidFill>
                    <w14:schemeClr w14:val="tx1"/>
                  </w14:solidFill>
                </w14:textFill>
              </w:rPr>
              <w:t>标准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default" w:ascii="宋体" w:hAnsi="宋体" w:eastAsia="宋体" w:cs="宋体"/>
                <w:snapToGrid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spacing w:val="-5"/>
                <w:sz w:val="21"/>
                <w:szCs w:val="21"/>
                <w14:textFill>
                  <w14:solidFill>
                    <w14:schemeClr w14:val="tx1"/>
                  </w14:solidFill>
                </w14:textFill>
              </w:rPr>
              <w:t>条款</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GB</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pacing w:val="1"/>
                <w:sz w:val="21"/>
                <w:szCs w:val="21"/>
                <w14:textFill>
                  <w14:solidFill>
                    <w14:schemeClr w14:val="tx1"/>
                  </w14:solidFill>
                </w14:textFill>
              </w:rPr>
              <w:t>9706.1-2020</w:t>
            </w:r>
            <w:r>
              <w:rPr>
                <w:rFonts w:hint="eastAsia" w:ascii="宋体" w:hAnsi="宋体" w:eastAsia="宋体" w:cs="宋体"/>
                <w:b/>
                <w:bCs/>
                <w:color w:val="000000" w:themeColor="text1"/>
                <w:spacing w:val="1"/>
                <w:sz w:val="21"/>
                <w:szCs w:val="21"/>
                <w14:textFill>
                  <w14:solidFill>
                    <w14:schemeClr w14:val="tx1"/>
                  </w14:solidFill>
                </w14:textFill>
              </w:rPr>
              <w:t>标准要求</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2"/>
                <w:sz w:val="21"/>
                <w:szCs w:val="21"/>
                <w14:textFill>
                  <w14:solidFill>
                    <w14:schemeClr w14:val="tx1"/>
                  </w14:solidFill>
                </w14:textFill>
              </w:rPr>
              <w:t>是否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7"/>
                <w:sz w:val="21"/>
                <w:szCs w:val="21"/>
                <w14:textFill>
                  <w14:solidFill>
                    <w14:schemeClr w14:val="tx1"/>
                  </w14:solidFill>
                </w14:textFill>
              </w:rPr>
              <w:t>适用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4"/>
                <w:sz w:val="21"/>
                <w:szCs w:val="21"/>
                <w14:textFill>
                  <w14:solidFill>
                    <w14:schemeClr w14:val="tx1"/>
                  </w14:solidFill>
                </w14:textFill>
              </w:rPr>
            </w:pPr>
            <w:r>
              <w:rPr>
                <w:rFonts w:hint="eastAsia" w:ascii="宋体" w:hAnsi="宋体" w:eastAsia="宋体" w:cs="宋体"/>
                <w:b/>
                <w:bCs/>
                <w:color w:val="000000" w:themeColor="text1"/>
                <w:spacing w:val="-4"/>
                <w:sz w:val="21"/>
                <w:szCs w:val="21"/>
                <w14:textFill>
                  <w14:solidFill>
                    <w14:schemeClr w14:val="tx1"/>
                  </w14:solidFill>
                </w14:textFill>
              </w:rPr>
              <w:t>页码、章节</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napToGrid w:val="0"/>
                <w:color w:val="000000" w:themeColor="text1"/>
                <w:kern w:val="0"/>
                <w:sz w:val="21"/>
                <w:szCs w:val="21"/>
                <w:lang w:val="en-GB" w:eastAsia="en-US" w:bidi="ar-SA"/>
                <w14:textFill>
                  <w14:solidFill>
                    <w14:schemeClr w14:val="tx1"/>
                  </w14:solidFill>
                </w14:textFill>
              </w:rPr>
            </w:pPr>
            <w:r>
              <w:rPr>
                <w:rFonts w:hint="eastAsia" w:ascii="宋体" w:hAnsi="宋体" w:eastAsia="宋体" w:cs="宋体"/>
                <w:b/>
                <w:bCs/>
                <w:color w:val="000000" w:themeColor="text1"/>
                <w:spacing w:val="1"/>
                <w:sz w:val="21"/>
                <w:szCs w:val="21"/>
                <w14:textFill>
                  <w14:solidFill>
                    <w14:schemeClr w14:val="tx1"/>
                  </w14:solidFill>
                </w14:textFill>
              </w:rPr>
              <w:t>(或不适用</w:t>
            </w:r>
            <w:r>
              <w:rPr>
                <w:rFonts w:hint="eastAsia" w:ascii="宋体" w:hAnsi="宋体" w:eastAsia="宋体" w:cs="宋体"/>
                <w:b/>
                <w:bCs/>
                <w:color w:val="000000" w:themeColor="text1"/>
                <w:spacing w:val="9"/>
                <w:sz w:val="21"/>
                <w:szCs w:val="21"/>
                <w14:textFill>
                  <w14:solidFill>
                    <w14:schemeClr w14:val="tx1"/>
                  </w14:solidFill>
                </w14:textFill>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default" w:ascii="宋体" w:hAnsi="宋体" w:eastAsia="宋体" w:cs="宋体"/>
                <w:color w:val="auto"/>
                <w:sz w:val="21"/>
                <w:szCs w:val="21"/>
                <w:lang w:val="en-GB" w:eastAsia="en-US" w:bidi="ar-SA"/>
              </w:rPr>
            </w:pPr>
            <w:r>
              <w:rPr>
                <w:rFonts w:hint="eastAsia" w:ascii="宋体" w:hAnsi="宋体" w:eastAsia="宋体" w:cs="宋体"/>
                <w:color w:val="auto"/>
                <w:sz w:val="21"/>
                <w:szCs w:val="21"/>
              </w:rPr>
              <w:t>——其他附加的多位插座或延长线不应接入ME系统的警告；</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default" w:ascii="宋体" w:hAnsi="宋体" w:eastAsia="宋体" w:cs="宋体"/>
                <w:color w:val="auto"/>
                <w:sz w:val="21"/>
                <w:szCs w:val="21"/>
                <w:lang w:val="en-GB" w:eastAsia="en-US" w:bidi="ar-SA"/>
              </w:rPr>
            </w:pPr>
            <w:r>
              <w:rPr>
                <w:rFonts w:hint="eastAsia" w:ascii="宋体" w:hAnsi="宋体" w:eastAsia="宋体" w:cs="宋体"/>
                <w:color w:val="auto"/>
                <w:sz w:val="21"/>
                <w:szCs w:val="21"/>
              </w:rPr>
              <w:t>——仅接入规定为ME系统组成部分的部件或规定与ME系统兼容的部件的警告；</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default" w:ascii="宋体" w:hAnsi="宋体" w:eastAsia="宋体" w:cs="宋体"/>
                <w:color w:val="auto"/>
                <w:sz w:val="21"/>
                <w:szCs w:val="21"/>
                <w:lang w:val="en-GB" w:eastAsia="en-US" w:bidi="ar-SA"/>
              </w:rPr>
            </w:pPr>
            <w:r>
              <w:rPr>
                <w:rFonts w:hint="eastAsia" w:ascii="宋体" w:hAnsi="宋体" w:eastAsia="宋体" w:cs="宋体"/>
                <w:color w:val="auto"/>
                <w:sz w:val="21"/>
                <w:szCs w:val="21"/>
              </w:rPr>
              <w:t>——ME系统中使用的所有多位插座的最大允许负载</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default" w:ascii="宋体" w:hAnsi="宋体" w:eastAsia="宋体" w:cs="宋体"/>
                <w:color w:val="auto"/>
                <w:sz w:val="21"/>
                <w:szCs w:val="21"/>
                <w:lang w:val="en-GB" w:eastAsia="en-US"/>
              </w:rPr>
            </w:pPr>
            <w:r>
              <w:rPr>
                <w:rFonts w:hint="eastAsia" w:ascii="宋体" w:hAnsi="宋体" w:eastAsia="宋体" w:cs="宋体"/>
                <w:color w:val="auto"/>
                <w:sz w:val="21"/>
                <w:szCs w:val="21"/>
              </w:rPr>
              <w:t>——由ME系统提供的多位插座，只能用于向组成ME系统的设备供电的说明；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——预期由带分离变压器的多位插座供电的作为ME系统组成部分的非ME设备，与墙壁插座直接连接的风险的说明 ；</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——说明将非ME系统组成部分的任何设备接入多位插座的风险；</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——ME系统允许使用的环境条件，包括运输和贮存条件；</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——操作者不同时触及16.4提及的部件和患者的说明。</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d)对责任方的建议：</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——要执行文件中规定的所有调整、清洗、消毒和灭菌程序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和</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Merge w:val="continue"/>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5"/>
                <w:sz w:val="21"/>
                <w:szCs w:val="21"/>
                <w14:textFill>
                  <w14:solidFill>
                    <w14:schemeClr w14:val="tx1"/>
                  </w14:solidFill>
                </w14:textFill>
              </w:rPr>
            </w:pPr>
          </w:p>
        </w:tc>
        <w:tc>
          <w:tcPr>
            <w:tcW w:w="0" w:type="auto"/>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left"/>
              <w:textAlignment w:val="auto"/>
              <w:rPr>
                <w:rFonts w:hint="eastAsia" w:ascii="宋体" w:hAnsi="宋体" w:eastAsia="宋体" w:cs="宋体"/>
                <w:color w:val="auto"/>
                <w:sz w:val="21"/>
                <w:szCs w:val="21"/>
                <w:lang w:val="en-GB" w:eastAsia="en-US"/>
              </w:rPr>
            </w:pPr>
            <w:r>
              <w:rPr>
                <w:rFonts w:hint="eastAsia" w:ascii="宋体" w:hAnsi="宋体" w:eastAsia="宋体" w:cs="宋体"/>
                <w:color w:val="auto"/>
                <w:sz w:val="21"/>
                <w:szCs w:val="21"/>
              </w:rPr>
              <w:t>——在实际的使用寿命期间ME系统的装配和改装需要按本部分的要求评价。</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7"/>
                <w:sz w:val="21"/>
                <w:szCs w:val="21"/>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b/>
                <w:bCs/>
                <w:color w:val="000000" w:themeColor="text1"/>
                <w:spacing w:val="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blHeader/>
        </w:trPr>
        <w:tc>
          <w:tcPr>
            <w:tcW w:w="93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cs="宋体"/>
                <w:b/>
                <w:bCs/>
                <w:color w:val="000000" w:themeColor="text1"/>
                <w:spacing w:val="-5"/>
                <w:sz w:val="21"/>
                <w:szCs w:val="21"/>
                <w:lang w:val="en-US" w:eastAsia="zh-CN"/>
                <w14:textFill>
                  <w14:solidFill>
                    <w14:schemeClr w14:val="tx1"/>
                  </w14:solidFill>
                </w14:textFill>
              </w:rPr>
              <w:t>16.3</w:t>
            </w:r>
          </w:p>
        </w:tc>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left"/>
              <w:textAlignment w:val="baseline"/>
              <w:rPr>
                <w:rFonts w:hint="eastAsia" w:ascii="宋体" w:hAnsi="宋体" w:cs="宋体"/>
                <w:b/>
                <w:bCs/>
                <w:color w:val="000000" w:themeColor="text1"/>
                <w:spacing w:val="-5"/>
                <w:sz w:val="21"/>
                <w:szCs w:val="21"/>
                <w:lang w:val="en-GB" w:eastAsia="en-US"/>
                <w14:textFill>
                  <w14:solidFill>
                    <w14:schemeClr w14:val="tx1"/>
                  </w14:solidFill>
                </w14:textFill>
              </w:rPr>
            </w:pPr>
            <w:r>
              <w:rPr>
                <w:rFonts w:hint="eastAsia" w:ascii="宋体" w:hAnsi="宋体" w:eastAsia="宋体" w:cs="宋体"/>
                <w:color w:val="auto"/>
                <w:sz w:val="21"/>
                <w:szCs w:val="21"/>
                <w:lang w:val="en-US" w:eastAsia="zh-CN"/>
              </w:rPr>
              <w:t>若未规定IPS或UPS,实际的瞬态电流水平应在技术说明书和所有安装手册中明示。</w:t>
            </w: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p>
        </w:tc>
        <w:tc>
          <w:tcPr>
            <w:tcW w:w="0" w:type="auto"/>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cs="宋体"/>
                <w:b/>
                <w:bCs/>
                <w:color w:val="000000" w:themeColor="text1"/>
                <w:spacing w:val="-5"/>
                <w:sz w:val="21"/>
                <w:szCs w:val="21"/>
                <w:lang w:val="en-US" w:eastAsia="zh-CN"/>
                <w14:textFill>
                  <w14:solidFill>
                    <w14:schemeClr w14:val="tx1"/>
                  </w14:solidFill>
                </w14:textFill>
              </w:rPr>
            </w:pPr>
          </w:p>
        </w:tc>
      </w:tr>
    </w:tbl>
    <w:p>
      <w:pPr>
        <w:rPr>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eastAsia="宋体"/>
        <w:lang w:eastAsia="zh-CN"/>
      </w:rPr>
    </w:pPr>
    <w:r>
      <w:rPr>
        <w:rFonts w:hint="eastAsia"/>
        <w:b w:val="0"/>
        <w:bCs w:val="0"/>
        <w:sz w:val="20"/>
        <w:szCs w:val="20"/>
        <w:lang w:val="en-US" w:eastAsia="zh-CN"/>
      </w:rPr>
      <w:t>版本/修订：试行</w:t>
    </w:r>
    <w:r>
      <w:rPr>
        <w:rFonts w:hint="eastAsia"/>
        <w:b w:val="0"/>
        <w:bCs w:val="0"/>
        <w:sz w:val="28"/>
        <w:szCs w:val="28"/>
        <w:lang w:val="en-US" w:eastAsia="zh-CN"/>
      </w:rPr>
      <w:t xml:space="preserve">  </w:t>
    </w:r>
    <w:r>
      <w:rPr>
        <w:rFonts w:hint="eastAsia"/>
        <w:b w:val="0"/>
        <w:bCs w:val="0"/>
        <w:lang w:val="en-US" w:eastAsia="zh-CN"/>
      </w:rPr>
      <w:t xml:space="preserve">                生效日期：2023-01-30                    </w:t>
    </w:r>
    <w:r>
      <w:rPr>
        <w:b w:val="0"/>
        <w:bCs w:val="0"/>
        <w:lang w:val="en-US"/>
      </w:rPr>
      <w:t xml:space="preserve">Page </w:t>
    </w:r>
    <w:r>
      <w:rPr>
        <w:b w:val="0"/>
        <w:bCs w:val="0"/>
        <w:spacing w:val="-2"/>
      </w:rPr>
      <w:fldChar w:fldCharType="begin"/>
    </w:r>
    <w:r>
      <w:rPr>
        <w:b w:val="0"/>
        <w:bCs w:val="0"/>
        <w:spacing w:val="-2"/>
      </w:rPr>
      <w:instrText xml:space="preserve">page \* arabic</w:instrText>
    </w:r>
    <w:r>
      <w:rPr>
        <w:b w:val="0"/>
        <w:bCs w:val="0"/>
        <w:spacing w:val="-2"/>
      </w:rPr>
      <w:fldChar w:fldCharType="separate"/>
    </w:r>
    <w:r>
      <w:rPr>
        <w:b w:val="0"/>
        <w:bCs w:val="0"/>
        <w:spacing w:val="-2"/>
      </w:rPr>
      <w:t>12</w:t>
    </w:r>
    <w:r>
      <w:rPr>
        <w:b w:val="0"/>
        <w:bCs w:val="0"/>
        <w:spacing w:val="-2"/>
      </w:rPr>
      <w:fldChar w:fldCharType="end"/>
    </w:r>
    <w:r>
      <w:rPr>
        <w:b w:val="0"/>
        <w:bCs w:val="0"/>
        <w:spacing w:val="-2"/>
      </w:rPr>
      <w:t xml:space="preserve"> of </w:t>
    </w:r>
    <w:r>
      <w:rPr>
        <w:rStyle w:val="10"/>
        <w:rFonts w:ascii="Arial" w:hAnsi="Arial" w:cs="Arial"/>
        <w:b w:val="0"/>
        <w:bCs w:val="0"/>
      </w:rPr>
      <w:fldChar w:fldCharType="begin"/>
    </w:r>
    <w:r>
      <w:rPr>
        <w:rStyle w:val="10"/>
        <w:rFonts w:ascii="Arial" w:hAnsi="Arial" w:cs="Arial"/>
        <w:b w:val="0"/>
        <w:bCs w:val="0"/>
      </w:rPr>
      <w:instrText xml:space="preserve"> NUMPAGES </w:instrText>
    </w:r>
    <w:r>
      <w:rPr>
        <w:rStyle w:val="10"/>
        <w:rFonts w:ascii="Arial" w:hAnsi="Arial" w:cs="Arial"/>
        <w:b w:val="0"/>
        <w:bCs w:val="0"/>
      </w:rPr>
      <w:fldChar w:fldCharType="separate"/>
    </w:r>
    <w:r>
      <w:rPr>
        <w:rStyle w:val="10"/>
        <w:rFonts w:ascii="Arial" w:hAnsi="Arial" w:cs="Arial"/>
        <w:b w:val="0"/>
        <w:bCs w:val="0"/>
      </w:rPr>
      <w:t>12</w:t>
    </w:r>
    <w:r>
      <w:rPr>
        <w:rStyle w:val="10"/>
        <w:rFonts w:ascii="Arial" w:hAnsi="Arial" w:cs="Arial"/>
        <w:b w:val="0"/>
        <w:bCs w:val="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ageBreakBefore w:val="0"/>
      <w:widowControl/>
      <w:pBdr>
        <w:bottom w:val="none" w:color="auto" w:sz="0" w:space="0"/>
      </w:pBdr>
      <w:kinsoku/>
      <w:wordWrap/>
      <w:overflowPunct/>
      <w:topLinePunct w:val="0"/>
      <w:autoSpaceDE/>
      <w:autoSpaceDN/>
      <w:bidi w:val="0"/>
      <w:adjustRightInd/>
      <w:snapToGrid/>
      <w:spacing w:before="0" w:beforeLines="0" w:after="0" w:afterLines="0" w:line="240" w:lineRule="auto"/>
      <w:ind w:firstLine="723" w:firstLineChars="300"/>
      <w:jc w:val="center"/>
      <w:textAlignment w:val="auto"/>
      <w:rPr>
        <w:rFonts w:hint="eastAsia" w:ascii="黑体" w:hAnsi="黑体" w:eastAsia="黑体" w:cs="黑体"/>
        <w:b/>
        <w:bCs w:val="0"/>
        <w:color w:val="376092" w:themeColor="accent1" w:themeShade="BF"/>
        <w:sz w:val="36"/>
        <w:szCs w:val="36"/>
      </w:rPr>
    </w:pPr>
    <w:r>
      <w:rPr>
        <w:color w:val="376092" w:themeColor="accent1" w:themeShade="BF"/>
        <w:sz w:val="24"/>
        <w:szCs w:val="18"/>
      </w:rPr>
      <w:drawing>
        <wp:anchor distT="0" distB="0" distL="114300" distR="114300" simplePos="0" relativeHeight="251659264" behindDoc="0" locked="0" layoutInCell="1" allowOverlap="1">
          <wp:simplePos x="0" y="0"/>
          <wp:positionH relativeFrom="column">
            <wp:posOffset>570230</wp:posOffset>
          </wp:positionH>
          <wp:positionV relativeFrom="paragraph">
            <wp:posOffset>13335</wp:posOffset>
          </wp:positionV>
          <wp:extent cx="391795" cy="434340"/>
          <wp:effectExtent l="0" t="0" r="8255" b="3810"/>
          <wp:wrapNone/>
          <wp:docPr id="15"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LOGO"/>
                  <pic:cNvPicPr>
                    <a:picLocks noChangeAspect="1"/>
                  </pic:cNvPicPr>
                </pic:nvPicPr>
                <pic:blipFill>
                  <a:blip r:embed="rId1" cstate="print"/>
                  <a:stretch>
                    <a:fillRect/>
                  </a:stretch>
                </pic:blipFill>
                <pic:spPr>
                  <a:xfrm>
                    <a:off x="0" y="0"/>
                    <a:ext cx="391795" cy="434340"/>
                  </a:xfrm>
                  <a:prstGeom prst="rect">
                    <a:avLst/>
                  </a:prstGeom>
                </pic:spPr>
              </pic:pic>
            </a:graphicData>
          </a:graphic>
        </wp:anchor>
      </w:drawing>
    </w:r>
    <w:r>
      <w:rPr>
        <w:rFonts w:hint="eastAsia" w:ascii="黑体" w:hAnsi="黑体" w:eastAsia="黑体" w:cs="黑体"/>
        <w:b/>
        <w:bCs w:val="0"/>
        <w:color w:val="376092" w:themeColor="accent1" w:themeShade="BF"/>
        <w:sz w:val="36"/>
        <w:szCs w:val="36"/>
      </w:rPr>
      <w:t>湖北省医疗器械质量监督检验研究院</w:t>
    </w:r>
  </w:p>
  <w:p>
    <w:pPr>
      <w:pStyle w:val="2"/>
      <w:pageBreakBefore w:val="0"/>
      <w:widowControl/>
      <w:pBdr>
        <w:bottom w:val="none" w:color="auto" w:sz="0" w:space="0"/>
      </w:pBdr>
      <w:kinsoku/>
      <w:wordWrap/>
      <w:overflowPunct/>
      <w:topLinePunct w:val="0"/>
      <w:autoSpaceDE/>
      <w:autoSpaceDN/>
      <w:bidi w:val="0"/>
      <w:adjustRightInd/>
      <w:snapToGrid/>
      <w:spacing w:before="0" w:beforeLines="0" w:after="0" w:afterLines="0" w:line="240" w:lineRule="auto"/>
      <w:jc w:val="center"/>
      <w:textAlignment w:val="auto"/>
      <w:rPr>
        <w:color w:val="376092" w:themeColor="accent1" w:themeShade="BF"/>
        <w:sz w:val="16"/>
        <w:szCs w:val="16"/>
      </w:rPr>
    </w:pPr>
    <w:r>
      <w:rPr>
        <w:rFonts w:hint="eastAsia" w:ascii="Times New Roman" w:hAnsi="Times New Roman" w:cs="Times New Roman"/>
        <w:b/>
        <w:bCs w:val="0"/>
        <w:color w:val="376092" w:themeColor="accent1" w:themeShade="BF"/>
        <w:w w:val="100"/>
        <w:sz w:val="22"/>
        <w:szCs w:val="28"/>
        <w:lang w:val="en-US" w:eastAsia="zh-CN"/>
      </w:rPr>
      <w:t xml:space="preserve">       </w:t>
    </w:r>
    <w:r>
      <w:rPr>
        <w:rFonts w:hint="default" w:ascii="Times New Roman" w:hAnsi="Times New Roman" w:cs="Times New Roman"/>
        <w:b/>
        <w:bCs w:val="0"/>
        <w:color w:val="376092" w:themeColor="accent1" w:themeShade="BF"/>
        <w:w w:val="100"/>
        <w:sz w:val="22"/>
        <w:szCs w:val="28"/>
      </w:rPr>
      <w:t>Hubei Medical Devices Quality Supervision and Test Institute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pStyle w:val="17"/>
      <w:suff w:val="nothing"/>
      <w:lvlText w:val="%1——"/>
      <w:lvlJc w:val="left"/>
      <w:pPr>
        <w:ind w:left="1401" w:hanging="408"/>
      </w:pPr>
      <w:rPr>
        <w:rFonts w:hint="eastAsia"/>
        <w:lang w:val="en-US"/>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44C50F90"/>
    <w:multiLevelType w:val="multilevel"/>
    <w:tmpl w:val="44C50F90"/>
    <w:lvl w:ilvl="0" w:tentative="0">
      <w:start w:val="1"/>
      <w:numFmt w:val="lowerLetter"/>
      <w:pStyle w:val="18"/>
      <w:lvlText w:val="%1)"/>
      <w:lvlJc w:val="left"/>
      <w:pPr>
        <w:tabs>
          <w:tab w:val="left" w:pos="846"/>
        </w:tabs>
        <w:ind w:left="845"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ascii="宋体" w:eastAsia="宋体"/>
        <w:lang w:val="en-US" w:eastAsia="zh-CN" w:bidi="ar-S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3YTE3NWI2OTgyZWZjYWY3MDRmZTgwMzMwZWU1YjcifQ=="/>
  </w:docVars>
  <w:rsids>
    <w:rsidRoot w:val="002D4FB6"/>
    <w:rsid w:val="00044E24"/>
    <w:rsid w:val="000B53C2"/>
    <w:rsid w:val="000B775C"/>
    <w:rsid w:val="000C76CB"/>
    <w:rsid w:val="00101B73"/>
    <w:rsid w:val="00124A55"/>
    <w:rsid w:val="001A405A"/>
    <w:rsid w:val="001E7FB9"/>
    <w:rsid w:val="00232C25"/>
    <w:rsid w:val="002D2A71"/>
    <w:rsid w:val="002D4FB6"/>
    <w:rsid w:val="00425CC2"/>
    <w:rsid w:val="00430417"/>
    <w:rsid w:val="004C51F9"/>
    <w:rsid w:val="00550F63"/>
    <w:rsid w:val="005F1DFD"/>
    <w:rsid w:val="006344AD"/>
    <w:rsid w:val="006A587E"/>
    <w:rsid w:val="00714742"/>
    <w:rsid w:val="007422F3"/>
    <w:rsid w:val="007C2869"/>
    <w:rsid w:val="007F176D"/>
    <w:rsid w:val="0082068E"/>
    <w:rsid w:val="008461D0"/>
    <w:rsid w:val="00975FB8"/>
    <w:rsid w:val="00981B55"/>
    <w:rsid w:val="00996C87"/>
    <w:rsid w:val="009A24C5"/>
    <w:rsid w:val="009A3E0C"/>
    <w:rsid w:val="009B6146"/>
    <w:rsid w:val="009E2DEC"/>
    <w:rsid w:val="00A44BC6"/>
    <w:rsid w:val="00B254EE"/>
    <w:rsid w:val="00B37C04"/>
    <w:rsid w:val="00B5501F"/>
    <w:rsid w:val="00B72F3E"/>
    <w:rsid w:val="00B861F0"/>
    <w:rsid w:val="00BE5BC9"/>
    <w:rsid w:val="00C83B98"/>
    <w:rsid w:val="00CF3801"/>
    <w:rsid w:val="00D23140"/>
    <w:rsid w:val="00D971F9"/>
    <w:rsid w:val="00DA7002"/>
    <w:rsid w:val="00E34CCA"/>
    <w:rsid w:val="00E40FF6"/>
    <w:rsid w:val="00E4594F"/>
    <w:rsid w:val="00E5648B"/>
    <w:rsid w:val="00F45131"/>
    <w:rsid w:val="00F73689"/>
    <w:rsid w:val="00F77E8E"/>
    <w:rsid w:val="00FB5F1F"/>
    <w:rsid w:val="00FB7707"/>
    <w:rsid w:val="00FC4628"/>
    <w:rsid w:val="00FF099D"/>
    <w:rsid w:val="0694159E"/>
    <w:rsid w:val="06E81796"/>
    <w:rsid w:val="0CA0224C"/>
    <w:rsid w:val="141863FB"/>
    <w:rsid w:val="15C17ED0"/>
    <w:rsid w:val="1AA0152E"/>
    <w:rsid w:val="1EF03416"/>
    <w:rsid w:val="28BE1833"/>
    <w:rsid w:val="303558F7"/>
    <w:rsid w:val="3652199F"/>
    <w:rsid w:val="37671E6C"/>
    <w:rsid w:val="38CA3F78"/>
    <w:rsid w:val="487430A7"/>
    <w:rsid w:val="489F072B"/>
    <w:rsid w:val="4F936802"/>
    <w:rsid w:val="514A1A32"/>
    <w:rsid w:val="6E0D4D69"/>
    <w:rsid w:val="6FCA50CB"/>
    <w:rsid w:val="78FF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rial"/>
      <w:lang w:val="en-GB" w:eastAsia="en-US" w:bidi="ar-SA"/>
    </w:rPr>
  </w:style>
  <w:style w:type="paragraph" w:styleId="2">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link w:val="15"/>
    <w:semiHidden/>
    <w:qFormat/>
    <w:uiPriority w:val="0"/>
    <w:pPr>
      <w:widowControl w:val="0"/>
      <w:tabs>
        <w:tab w:val="right" w:leader="dot" w:pos="4421"/>
      </w:tabs>
      <w:suppressAutoHyphens/>
      <w:overflowPunct w:val="0"/>
      <w:autoSpaceDE w:val="0"/>
      <w:autoSpaceDN w:val="0"/>
      <w:adjustRightInd w:val="0"/>
      <w:spacing w:before="66"/>
      <w:jc w:val="both"/>
      <w:textAlignment w:val="baseline"/>
    </w:pPr>
    <w:rPr>
      <w:spacing w:val="-2"/>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2"/>
    <w:qFormat/>
    <w:uiPriority w:val="99"/>
    <w:pPr>
      <w:tabs>
        <w:tab w:val="center" w:pos="4320"/>
        <w:tab w:val="right" w:pos="8640"/>
      </w:tabs>
    </w:pPr>
  </w:style>
  <w:style w:type="paragraph" w:styleId="7">
    <w:name w:val="Title"/>
    <w:basedOn w:val="1"/>
    <w:link w:val="13"/>
    <w:qFormat/>
    <w:uiPriority w:val="0"/>
    <w:pPr>
      <w:jc w:val="center"/>
    </w:pPr>
    <w:rPr>
      <w:b/>
      <w:bCs/>
      <w:sz w:val="24"/>
      <w:szCs w:val="24"/>
    </w:rPr>
  </w:style>
  <w:style w:type="character" w:styleId="10">
    <w:name w:val="page number"/>
    <w:semiHidden/>
    <w:qFormat/>
    <w:uiPriority w:val="0"/>
    <w:rPr>
      <w:rFonts w:ascii="Times New Roman" w:hAnsi="Times New Roman" w:cs="Times New Roman"/>
    </w:rPr>
  </w:style>
  <w:style w:type="character" w:styleId="11">
    <w:name w:val="annotation reference"/>
    <w:qFormat/>
    <w:uiPriority w:val="0"/>
    <w:rPr>
      <w:sz w:val="21"/>
      <w:szCs w:val="21"/>
    </w:rPr>
  </w:style>
  <w:style w:type="character" w:customStyle="1" w:styleId="12">
    <w:name w:val="页眉 字符"/>
    <w:basedOn w:val="9"/>
    <w:link w:val="6"/>
    <w:qFormat/>
    <w:uiPriority w:val="99"/>
    <w:rPr>
      <w:rFonts w:ascii="Arial" w:hAnsi="Arial" w:eastAsia="宋体" w:cs="Arial"/>
      <w:kern w:val="0"/>
      <w:sz w:val="20"/>
      <w:szCs w:val="20"/>
      <w:lang w:val="en-GB" w:eastAsia="en-US"/>
    </w:rPr>
  </w:style>
  <w:style w:type="character" w:customStyle="1" w:styleId="13">
    <w:name w:val="标题 字符"/>
    <w:basedOn w:val="9"/>
    <w:link w:val="7"/>
    <w:qFormat/>
    <w:uiPriority w:val="0"/>
    <w:rPr>
      <w:rFonts w:ascii="Arial" w:hAnsi="Arial" w:eastAsia="宋体" w:cs="Arial"/>
      <w:b/>
      <w:bCs/>
      <w:kern w:val="0"/>
      <w:sz w:val="24"/>
      <w:szCs w:val="24"/>
      <w:lang w:val="en-GB" w:eastAsia="en-US"/>
    </w:rPr>
  </w:style>
  <w:style w:type="character" w:customStyle="1" w:styleId="14">
    <w:name w:val="页脚 字符"/>
    <w:basedOn w:val="9"/>
    <w:link w:val="5"/>
    <w:qFormat/>
    <w:uiPriority w:val="99"/>
    <w:rPr>
      <w:rFonts w:ascii="Arial" w:hAnsi="Arial" w:eastAsia="宋体" w:cs="Arial"/>
      <w:kern w:val="0"/>
      <w:sz w:val="18"/>
      <w:szCs w:val="18"/>
      <w:lang w:val="en-GB" w:eastAsia="en-US"/>
    </w:rPr>
  </w:style>
  <w:style w:type="character" w:customStyle="1" w:styleId="15">
    <w:name w:val="正文文本 字符"/>
    <w:basedOn w:val="9"/>
    <w:link w:val="4"/>
    <w:semiHidden/>
    <w:qFormat/>
    <w:uiPriority w:val="0"/>
    <w:rPr>
      <w:rFonts w:ascii="Arial" w:hAnsi="Arial" w:eastAsia="宋体" w:cs="Arial"/>
      <w:spacing w:val="-2"/>
      <w:kern w:val="0"/>
      <w:sz w:val="20"/>
      <w:szCs w:val="20"/>
      <w:lang w:val="en-GB" w:eastAsia="en-US"/>
    </w:r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列项——（一级）"/>
    <w:qFormat/>
    <w:uiPriority w:val="0"/>
    <w:pPr>
      <w:widowControl w:val="0"/>
      <w:numPr>
        <w:ilvl w:val="0"/>
        <w:numId w:val="1"/>
      </w:numPr>
      <w:ind w:left="833"/>
      <w:jc w:val="both"/>
    </w:pPr>
    <w:rPr>
      <w:rFonts w:ascii="宋体" w:hAnsi="Times New Roman" w:eastAsia="宋体" w:cs="Times New Roman"/>
      <w:sz w:val="21"/>
      <w:lang w:val="en-US" w:eastAsia="zh-CN" w:bidi="ar-SA"/>
    </w:rPr>
  </w:style>
  <w:style w:type="paragraph" w:customStyle="1" w:styleId="1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styleId="19">
    <w:name w:val="List Paragraph"/>
    <w:basedOn w:val="1"/>
    <w:qFormat/>
    <w:uiPriority w:val="34"/>
    <w:pPr>
      <w:ind w:firstLine="420" w:firstLineChars="200"/>
    </w:pPr>
    <w:rPr>
      <w:rFonts w:ascii="Calibri" w:hAnsi="Calibri"/>
      <w:szCs w:val="22"/>
    </w:rPr>
  </w:style>
  <w:style w:type="table" w:customStyle="1" w:styleId="2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6092</Words>
  <Characters>6794</Characters>
  <Lines>89</Lines>
  <Paragraphs>25</Paragraphs>
  <TotalTime>2</TotalTime>
  <ScaleCrop>false</ScaleCrop>
  <LinksUpToDate>false</LinksUpToDate>
  <CharactersWithSpaces>6833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2022-10-19T09:03:00Z</dcterms:created>
  <dc:creator>dashu</dc:creator>
  <cp:lastModifiedBy>李婧</cp:lastModifiedBy>
  <dcterms:modified xsi:type="dcterms:W3CDTF">2023-01-30T01:54:22Z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B06A388F73194E2DAEDA1B6016E9A120</vt:lpwstr>
  </property>
</Properties>
</file>